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20.09.2022 N 854</w:t>
              <w:br/>
              <w:t xml:space="preserve">(ред. от 03.07.2024)</w:t>
              <w:br/>
              <w:t xml:space="preserve">"Об утверждении федерального государственного образовательного стандарта среднего профессионального образования по профессии 18.01.27 Машинист технологических насосов и компрессоров"</w:t>
              <w:br/>
              <w:t xml:space="preserve">(Зарегистрировано в Минюсте России 26.10.2022 N 70703)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04.02.2025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26 октября 2022 г. N 70703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20 сентября 2022 г. N 854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</w:t>
      </w:r>
    </w:p>
    <w:p>
      <w:pPr>
        <w:pStyle w:val="2"/>
        <w:jc w:val="center"/>
      </w:pPr>
      <w:r>
        <w:rPr>
          <w:sz w:val="24"/>
        </w:rPr>
        <w:t xml:space="preserve">ФЕДЕРАЛЬНОГО ГОСУДАРСТВЕННОГО ОБРАЗОВАТЕЛЬНОГО СТАНДАРТА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 18.01.27</w:t>
      </w:r>
    </w:p>
    <w:p>
      <w:pPr>
        <w:pStyle w:val="2"/>
        <w:jc w:val="center"/>
      </w:pPr>
      <w:r>
        <w:rPr>
          <w:sz w:val="24"/>
        </w:rPr>
        <w:t xml:space="preserve">МАШИНИСТ ТЕХНОЛОГИЧЕСКИХ НАСОСОВ И КОМПРЕССОРОВ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Минпросвещения России от 03.07.2024 N 464)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8" w:tooltip="Постановление Правительства РФ от 28.07.2018 N 884 (ред. от 17.10.2024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------------ Недействующая редакция {КонсультантПлюс}">
        <w:r>
          <w:rPr>
            <w:sz w:val="24"/>
            <w:color w:val="0000ff"/>
          </w:rPr>
          <w:t xml:space="preserve">подпунктом 4.2.30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и </w:t>
      </w:r>
      <w:hyperlink w:history="0" r:id="rId9" w:tooltip="Постановление Правительства РФ от 12.04.2019 N 434 (ред. от 20.07.2024) &quot;Об утверждении Правил разработки, утверждения федеральных государственных образовательных стандартов и внесения в них изменений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27</w:t>
        </w:r>
      </w:hyperlink>
      <w:r>
        <w:rPr>
          <w:sz w:val="24"/>
        </w:rP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12 апреля 2019 г. N 434 (Собрание законодательства Российской Федерации, 2019, N 16, ст. 1942),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федеральный государственный образовательный </w:t>
      </w:r>
      <w:hyperlink w:history="0" w:anchor="P36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профессионального образования по профессии 18.01.27 Машинист технологических насосов и компрессоров (далее - стандарт).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Установить, что: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вправе осуществлять в соответствии со </w:t>
      </w:r>
      <w:hyperlink w:history="0" w:anchor="P36" w:tooltip="ФЕДЕРАЛЬНЫЙ ГОСУДАРСТВЕННЫЙ ОБРАЗОВАТЕЛЬНЫЙ СТАНДАРТ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обучение лиц, зачисленных до вступления в силу настоящего приказа, с их согласия;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прием на обучение в соответствии с федеральным государственным образовательным </w:t>
      </w:r>
      <w:hyperlink w:history="0" r:id="rId10" w:tooltip="Приказ Минобрнауки России от 02.08.2013 N 917 (ред. от 13.07.2021) &quot;Об утверждении федерального государственного образовательного стандарта среднего профессионального образования по профессии 240101.02 Машинист технологических насосов и компрессоров&quot; (Зарегистрировано в Минюсте России 20.08.2013 N 29547) {КонсультантПлюс}">
        <w:r>
          <w:rPr>
            <w:sz w:val="24"/>
            <w:color w:val="0000ff"/>
          </w:rPr>
          <w:t xml:space="preserve">стандартом</w:t>
        </w:r>
      </w:hyperlink>
      <w:r>
        <w:rPr>
          <w:sz w:val="24"/>
        </w:rPr>
        <w:t xml:space="preserve"> среднего профессионального образования по профессии </w:t>
      </w:r>
      <w:hyperlink w:history="0" r:id="rId11" w:tooltip="Приказ Минобрнауки РФ от 28.09.2009 N 354 (ред. от 21.02.2012) &quot;Об утверждении Перечня профессий начального профессионального образования&quot; (Зарегистрировано в Минюсте РФ 22.10.2009 N 15083) ------------ Утратил силу или отменен {КонсультантПлюс}">
        <w:r>
          <w:rPr>
            <w:sz w:val="24"/>
            <w:color w:val="0000ff"/>
          </w:rPr>
          <w:t xml:space="preserve">240101.2</w:t>
        </w:r>
      </w:hyperlink>
      <w:r>
        <w:rPr>
          <w:sz w:val="24"/>
        </w:rPr>
        <w:t xml:space="preserve"> Машинист технологических насосов и компрессоров, утвержденным приказом Министерства образования и науки Российской Федерации от 2 августа 2013 г. N 917 (зарегистрирован Министерством юстиции Российской Федерации 20 августа 2013 г., регистрационный N 29547), с изменениями, внесенными приказом Министерства образования и науки Российской Федерации от 25 марта 2015 г. N 272 (зарегистрирован Министерством юстиции Российской Федерации 23 апреля 2015 г., регистрационный N 37021) и </w:t>
      </w:r>
      <w:hyperlink w:history="0" r:id="rId12" w:tooltip="Приказ Минпросвещения России от 13.07.2021 N 450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14.10.2021 N 65410) {КонсультантПлюс}">
        <w:r>
          <w:rPr>
            <w:sz w:val="24"/>
            <w:color w:val="0000ff"/>
          </w:rPr>
          <w:t xml:space="preserve">приказом</w:t>
        </w:r>
      </w:hyperlink>
      <w:r>
        <w:rPr>
          <w:sz w:val="24"/>
        </w:rPr>
        <w:t xml:space="preserve"> Министерства просвещения Российской Федерации от 13 июля 2021 г. N 450 (зарегистрирован Министерством юстиции Российской Федерации 14 октября 2021 г., регистрационный N 65410), прекращается с 31 декабря 2022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Министр</w:t>
      </w:r>
    </w:p>
    <w:p>
      <w:pPr>
        <w:pStyle w:val="0"/>
        <w:jc w:val="right"/>
      </w:pPr>
      <w:r>
        <w:rPr>
          <w:sz w:val="24"/>
        </w:rPr>
        <w:t xml:space="preserve">С.С.КРАВЦОВ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20 сентября 2022 г. N 854</w:t>
      </w:r>
    </w:p>
    <w:p>
      <w:pPr>
        <w:pStyle w:val="0"/>
        <w:jc w:val="both"/>
      </w:pPr>
      <w:r>
        <w:rPr>
          <w:sz w:val="24"/>
        </w:rPr>
      </w:r>
    </w:p>
    <w:bookmarkStart w:id="36" w:name="P36"/>
    <w:bookmarkEnd w:id="36"/>
    <w:p>
      <w:pPr>
        <w:pStyle w:val="2"/>
        <w:jc w:val="center"/>
      </w:pPr>
      <w:r>
        <w:rPr>
          <w:sz w:val="24"/>
        </w:rPr>
        <w:t xml:space="preserve">ФЕДЕРАЛЬНЫЙ ГОСУДАРСТВЕННЫЙ ОБРАЗОВАТЕЛЬНЫЙ СТАНДАРТ</w:t>
      </w:r>
    </w:p>
    <w:p>
      <w:pPr>
        <w:pStyle w:val="2"/>
        <w:jc w:val="center"/>
      </w:pPr>
      <w:r>
        <w:rPr>
          <w:sz w:val="24"/>
        </w:rPr>
        <w:t xml:space="preserve">СРЕДНЕГО ПРОФЕССИОНАЛЬНОГО ОБРАЗОВАНИЯ ПО ПРОФЕССИИ 18.01.27</w:t>
      </w:r>
    </w:p>
    <w:p>
      <w:pPr>
        <w:pStyle w:val="2"/>
        <w:jc w:val="center"/>
      </w:pPr>
      <w:r>
        <w:rPr>
          <w:sz w:val="24"/>
        </w:rPr>
        <w:t xml:space="preserve">МАШИНИСТ ТЕХНОЛОГИЧЕСКИХ НАСОСОВ И КОМПРЕССОРОВ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</w:t>
            </w:r>
            <w:hyperlink w:history="0" r:id="rId13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  <w:color w:val="392c69"/>
              </w:rPr>
              <w:t xml:space="preserve"> Минпросвещения России от 03.07.2024 N 464)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bookmarkStart w:id="44" w:name="P44"/>
    <w:bookmarkEnd w:id="44"/>
    <w:p>
      <w:pPr>
        <w:pStyle w:val="0"/>
        <w:ind w:firstLine="540"/>
        <w:jc w:val="both"/>
      </w:pPr>
      <w:r>
        <w:rPr>
          <w:sz w:val="24"/>
        </w:rPr>
        <w:t xml:space="preserve"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18.01.27 Машинист технологических насосов и компрессоров (далее соответственно - ФГОС СПО, образовательная программа, профессия) в соответствии с квалификацией квалифицированного рабочего, служащего "машинист технологических насосов и компрессоров"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4" w:tooltip="Приказ Минпросвещения России от 17.05.2022 N 336 (ред. от 07.11.2024) &quot;Об утверждении перечней профессий и специальностей среднего профессионального образования и установлении соответствия отдельных профессий и специальностей среднего профессионального образования, указанных в этих перечнях, профессиям и специальностям среднего профессионального образования, перечни которых утверждены приказом Министерства образования и науки Российской Федерации от 29 октября 2013 г. N 1199 &quot;Об утверждении перечней професс {КонсультантПлюс}">
        <w:r>
          <w:rPr>
            <w:sz w:val="24"/>
            <w:color w:val="0000ff"/>
          </w:rPr>
          <w:t xml:space="preserve">Перечень</w:t>
        </w:r>
      </w:hyperlink>
      <w:r>
        <w:rPr>
          <w:sz w:val="24"/>
        </w:rPr>
        <w:t xml:space="preserve"> профессий среднего профессионального образования, утвержденный приказом Министерства просвещения Российской Федерации от 17 мая 2022 г. N 336 (зарегистрирован Министерством юстиции Российской Федерации 17 июня 2022 г., регистрационный N 68887).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1.2. Получение образования по профессии допускается только в профессиональной образовательной организации или образовательной организации высшего образования (далее вместе - образовательная организация).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1.3. Образовательная программа, реализуемая на базе основного общего образования, разрабатывается образовательной организацией на основе требований федерального государственного образовательного </w:t>
      </w:r>
      <w:hyperlink w:history="0" r:id="rId15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стандарта</w:t>
        </w:r>
      </w:hyperlink>
      <w:r>
        <w:rPr>
          <w:sz w:val="24"/>
        </w:rPr>
        <w:t xml:space="preserve"> среднего общего образования &lt;2&gt;, ФГОС СПО и положений федеральной основной общеобразовательной программы среднего общего образования с учетом получаемой профессии.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16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Федеральный государственный образовательный </w:t>
      </w:r>
      <w:hyperlink w:history="0" r:id="rId17" w:tooltip="Приказ Минобрнауки России от 17.05.2012 N 413 (ред. от 27.12.2023) &quot;Об утверждении федерального государственного образовательного стандарта среднего общего образования&quot; (Зарегистрировано в Минюсте России 07.06.2012 N 24480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среднего общего образования, утвержденный приказом Министерства образования и науки Российской Федерации от 17 мая 2012 г. N 413 (зарегистрирован Министерством юстиции Российской Федерации 7 июня 2012 г., регистрационный N 24480), с изменениями, внесенными приказами Министерства образования и науки Российской Федерации от 29 декабря 2014 г. N 1645 (зарегистрирован Министерством юстиции Российской Федерации 9 февраля 2015 г., регистрационный N 35953), от 31 декабря 2015 г. N 1578 (зарегистрирован Министерством юстиции Российской Федерации 9 февраля 2016 г., регистрационный N 41020), от 29 июня 2017 г. N 613 (зарегистрирован Министерством юстиции Российской Федерации 26 июля 2017 г., регистрационный N 47532), приказами Министерства просвещения Российской Федерации от 24 сентября 2020 г. N 519 (зарегистрирован Министерством юстиции Российской Федерации 23 декабря 2020 г., регистрационный N 61749), от 11 декабря 2020 г. N 712 (зарегистрирован Министерством юстиции Российской Федерации 25 декабря 2020 г., регистрационный N 61828), от 12 августа 2022 г. N 732 (зарегистрирован Министерством юстиции Российской Федерации 12 сентября 2022 г., регистрационный N 70034) и от 27 декабря 2023 г. N 1028 (зарегистрирован Министерством юстиции Российской Федерации 2 февраля 2024 г., регистрационный N 77121).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18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1.4. Обучение по образовательной программе в образовательной организации осуществляется в очной, очно-заочной и заочной формах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1.5. При реализации образовательной программы образовательная организация вправе применять электронное обучение и дистанционные образовательные технологии.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инвалидов и лиц с ограниченными возможностями здоровья электронное обучение и дистанционные образовательные технологии должны предусматривать возможность приема-передачи информации в доступных для них формах.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1.6. Реализация образовательной программы осуществляется образовательной организацией как самостоятельно, так и посредством сетевой формы.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1.7.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соответствующую примерную образовательную программу, включенную в реестр примерных образовательных программ (далее - ПОП), примерной рабочей программы воспитания и примерного календарного плана воспитательной работы &lt;3&gt;.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19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20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2 статьи 12.1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1.8. Образовательная программа реализуется на государственном языке Российской Федерации, если иное не определено локальным нормативным актом образовательной организации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21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Статья 14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>
      <w:pPr>
        <w:pStyle w:val="0"/>
        <w:jc w:val="both"/>
      </w:pPr>
      <w:r>
        <w:rPr>
          <w:sz w:val="24"/>
        </w:rPr>
      </w:r>
    </w:p>
    <w:bookmarkStart w:id="69" w:name="P69"/>
    <w:bookmarkEnd w:id="69"/>
    <w:p>
      <w:pPr>
        <w:pStyle w:val="0"/>
        <w:ind w:firstLine="540"/>
        <w:jc w:val="both"/>
      </w:pPr>
      <w:r>
        <w:rPr>
          <w:sz w:val="24"/>
        </w:rPr>
        <w:t xml:space="preserve">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среднего общего образования - 10 месяцев;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базе основного общего образования - 1 год 10 месяцев.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Срок получения образования по образовательной программе в очно-заочной и заочной формах обучения, вне зависимости от применяемых образовательных технологий, увеличивается по сравнению со сроком получения образования в очной форме обучения не более чем на 1 год.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1.10. При обучении по индивидуальному учебному плану срок получения образования по образовательной программе, вне зависимости от формы обучения, составляет не более срока получения образования, установленного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 обучении по индивидуальному учебному плану обучающихся инвалидов и лиц с ограниченными возможностями здоровья срок получения образования может быть увеличен не более чем на один год по сравнению со сроком получения образования для соответствующей формы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1.11. Конкретный срок получения образования в очно-заочной и заочной формах обучения, а также по индивидуальному учебному плану, в том числе при ускоренном обучении, определяется образовательной организацией самостоятельно в пределах сроков, установленных </w:t>
      </w:r>
      <w:hyperlink w:history="0" w:anchor="P69" w:tooltip="1.9. Срок получения образования по образовательной программе в очной форме обучения вне зависимости от применяемых образовательных технологий составляет:">
        <w:r>
          <w:rPr>
            <w:sz w:val="24"/>
            <w:color w:val="0000ff"/>
          </w:rPr>
          <w:t xml:space="preserve">пунктом 1.9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1.12. Для определения объема образовательной программы образовательной организацией может быть применена система зачетных единиц, при этом одна зачетная единица соответствует 32 - 36 академическим часам.</w:t>
      </w:r>
    </w:p>
    <w:p>
      <w:pPr>
        <w:pStyle w:val="0"/>
        <w:jc w:val="both"/>
      </w:pPr>
      <w:r>
        <w:rPr>
          <w:sz w:val="24"/>
        </w:rPr>
      </w:r>
    </w:p>
    <w:bookmarkStart w:id="78" w:name="P78"/>
    <w:bookmarkEnd w:id="78"/>
    <w:p>
      <w:pPr>
        <w:pStyle w:val="0"/>
        <w:ind w:firstLine="540"/>
        <w:jc w:val="both"/>
      </w:pPr>
      <w:r>
        <w:rPr>
          <w:sz w:val="24"/>
        </w:rPr>
        <w:t xml:space="preserve">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</w:t>
      </w:r>
      <w:hyperlink w:history="0" r:id="rId22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19</w:t>
        </w:r>
      </w:hyperlink>
      <w:r>
        <w:rPr>
          <w:sz w:val="24"/>
        </w:rPr>
        <w:t xml:space="preserve"> Добыча, переработка, транспортировка нефти и газа, </w:t>
      </w:r>
      <w:hyperlink w:history="0" r:id="rId23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26</w:t>
        </w:r>
      </w:hyperlink>
      <w:r>
        <w:rPr>
          <w:sz w:val="24"/>
        </w:rPr>
        <w:t xml:space="preserve"> Химическое, химико-технологическое производство, </w:t>
      </w:r>
      <w:hyperlink w:history="0" r:id="rId24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40</w:t>
        </w:r>
      </w:hyperlink>
      <w:r>
        <w:rPr>
          <w:sz w:val="24"/>
        </w:rPr>
        <w:t xml:space="preserve"> Сквозные виды профессиональной деятельности в промышленности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25" w:tooltip="Приказ Минтруда России от 29.09.2014 N 667н (ред. от 09.03.2017) &quot;О реестре профессиональных стандартов (перечне видов профессиональной деятельности)&quot; (Зарегистрировано в Минюсте России 19.11.2014 N 34779) {КонсультантПлюс}">
        <w:r>
          <w:rPr>
            <w:sz w:val="24"/>
            <w:color w:val="0000ff"/>
          </w:rPr>
          <w:t xml:space="preserve">Таблица</w:t>
        </w:r>
      </w:hyperlink>
      <w:r>
        <w:rPr>
          <w:sz w:val="24"/>
        </w:rPr>
        <w:t xml:space="preserve"> приложения к приказу Министерства труда и социальной защиты Российской Федерации от 29 сентября 2014 г. N 667н "О реестре профессиональных стандартов (перечне видов профессиональной деятельности)" (зарегистрирован Министерством юстиции Российской Федерации 19 ноября 2014 г., регистрационный N 34779) с изменением, внесенным приказом Министерства труда и социальной защиты Российской Федерации от 9 марта 2017 г. N 254н (зарегистрирован Министерством юстиции Российской Федерации 29 марта 2017 г., регистрационный N 46168).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Выпускники могут осуществлять профессиональную деятельность в других областях профессиональной деятельности и (или) сферах профессиональной деятельности при условии соответствия уровня их образования и полученных компетенций требованиям к квалификации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1.14. При разработке образовательной программы образовательная организация устанавливает направленность, которая соответствует профессии в целом, с учетом соответствующей ПОП.</w:t>
      </w:r>
    </w:p>
    <w:p>
      <w:pPr>
        <w:pStyle w:val="0"/>
        <w:jc w:val="both"/>
      </w:pPr>
      <w:r>
        <w:rPr>
          <w:sz w:val="24"/>
        </w:rPr>
        <w:t xml:space="preserve">(п. 1.14 в ред. </w:t>
      </w:r>
      <w:hyperlink w:history="0" r:id="rId26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ТРЕБОВАНИЯ К СТРУКТУРЕ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2.1. Структура и объем образовательной программы (таблица N 1)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дисциплины (модули);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государственную итоговую аттестацию.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1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Структура и объем 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35"/>
        <w:gridCol w:w="4535"/>
      </w:tblGrid>
      <w:tr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Структура образовательной программы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Объем образовательной программы, в академических часах</w:t>
            </w:r>
          </w:p>
        </w:tc>
      </w:tr>
      <w:tr>
        <w:tc>
          <w:tcPr>
            <w:tcW w:w="4535" w:type="dxa"/>
          </w:tcPr>
          <w:p>
            <w:pPr>
              <w:pStyle w:val="0"/>
            </w:pPr>
            <w:r>
              <w:rPr>
                <w:sz w:val="24"/>
              </w:rPr>
              <w:t xml:space="preserve">Дисциплины (модули)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504</w:t>
            </w:r>
          </w:p>
        </w:tc>
      </w:tr>
      <w:tr>
        <w:tc>
          <w:tcPr>
            <w:tcW w:w="4535" w:type="dxa"/>
          </w:tcPr>
          <w:p>
            <w:pPr>
              <w:pStyle w:val="0"/>
            </w:pPr>
            <w:r>
              <w:rPr>
                <w:sz w:val="24"/>
              </w:rPr>
              <w:t xml:space="preserve">Практика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Не менее 648</w:t>
            </w:r>
          </w:p>
        </w:tc>
      </w:tr>
      <w:tr>
        <w:tc>
          <w:tcPr>
            <w:tcW w:w="4535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Государственная итоговая аттестация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36</w:t>
            </w:r>
          </w:p>
        </w:tc>
      </w:tr>
      <w:tr>
        <w:tc>
          <w:tcPr>
            <w:gridSpan w:val="2"/>
            <w:tcW w:w="9070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Общий объем образовательной программы:</w:t>
            </w:r>
          </w:p>
        </w:tc>
      </w:tr>
      <w:tr>
        <w:tc>
          <w:tcPr>
            <w:tcW w:w="4535" w:type="dxa"/>
          </w:tcPr>
          <w:p>
            <w:pPr>
              <w:pStyle w:val="0"/>
            </w:pPr>
            <w:r>
              <w:rPr>
                <w:sz w:val="24"/>
              </w:rPr>
              <w:t xml:space="preserve">на базе среднего общего образования</w:t>
            </w:r>
          </w:p>
        </w:tc>
        <w:tc>
          <w:tcPr>
            <w:tcW w:w="4535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1476</w:t>
            </w:r>
          </w:p>
        </w:tc>
      </w:tr>
      <w:tr>
        <w:tblPrEx>
          <w:tblBorders>
            <w:insideH w:val="nil"/>
          </w:tblBorders>
        </w:tblPrEx>
        <w:tc>
          <w:tcPr>
            <w:tcW w:w="4535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на базе основного общего образования, включая получение среднего общего образования на основе требований федерального государственного образовательного стандарта среднего общего образования</w:t>
            </w:r>
          </w:p>
        </w:tc>
        <w:tc>
          <w:tcPr>
            <w:tcW w:w="4535" w:type="dxa"/>
            <w:tcBorders>
              <w:bottom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2952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2"/>
            <w:tcW w:w="9070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</w:t>
            </w:r>
            <w:hyperlink w:history="0" r:id="rId27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      <w:r>
                <w:rPr>
                  <w:sz w:val="24"/>
                  <w:color w:val="0000ff"/>
                </w:rPr>
                <w:t xml:space="preserve">Приказа</w:t>
              </w:r>
            </w:hyperlink>
            <w:r>
              <w:rPr>
                <w:sz w:val="24"/>
              </w:rPr>
              <w:t xml:space="preserve"> Минпросвещения России от 03.07.2024 N 464)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2.2. Образовательная программа включает: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социально-гуманитарный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общепрофессиональный цикл;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профессиональный цикл.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2.3. В рамках образовательной программы выделяются обязательная часть и часть, формируемая участниками образовательных отношений (вариативная часть).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Обязательная часть образовательной программы направлена на формирование общих и профессиональных компетенций, предусмотренных </w:t>
      </w:r>
      <w:hyperlink w:history="0" w:anchor="P143" w:tooltip="III. ТРЕБОВАНИЯ К РЕЗУЛЬТАТАМ ОСВОЕНИЯ">
        <w:r>
          <w:rPr>
            <w:sz w:val="24"/>
            <w:color w:val="0000ff"/>
          </w:rPr>
          <w:t xml:space="preserve">главой III</w:t>
        </w:r>
      </w:hyperlink>
      <w:r>
        <w:rPr>
          <w:sz w:val="24"/>
        </w:rPr>
        <w:t xml:space="preserve"> ФГОС СПО.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Объем обязательной части без учета объема государственной итоговой аттестации должен составлять не более 80 процентов от общего объема времени, отведенного на освоение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Вариативная часть образовательной программы объемом не менее 20 процентов от общего объема времени, отведенного на освоение образовательной программы, дает возможность дальнейшего развития общих и профессиональных компетенций, в том числе за счет расширения основных видов деятельности, введения дополнительных видов деятельности, а также профессиональных компетенций, необходимых для обеспечения конкурентоспособности выпускника в соответствии с потребностями регионального рынка труда, а также с учетом требований цифровой экономики.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Конкретное соотношение обязательной и вариативной частей образовательной программы, объемные параметры циклов и практики образовательная организация определяет самостоятельно в соответствии с требованиями настоящего пункта, а также с учетом ПОП.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8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bookmarkStart w:id="122" w:name="P122"/>
    <w:bookmarkEnd w:id="122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2.4. Образовательная программа разрабатывается образовательной организацией в соответствии с ФГОС СПО и с учетом ПОП и предполагает освоение следующих видов деятельности: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29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эксплуатация технологических компрессоров и насосов, компрессорных и насосных установок, оборудования для очистки и осушки газа, нефтепродуктоперекачивающей станции, а также вспомогательного оборудования;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обслуживание и ремонт технологических компрессоров и насосов, компрессорных и насосных установок, оборудования для очистки и осушки газа, нефтепродуктоперекачивающей станции, а также вспомогательного оборудования.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2.5. Образовательная организация при необходимости самостоятельно формирует виды деятельности в дополнение к видам деятельности, указанным в </w:t>
      </w:r>
      <w:hyperlink w:history="0" w:anchor="P122" w:tooltip="2.4. Образовательная программа разрабатывается образовательной организацией в соответствии с ФГОС СПО и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пункте 2.4</w:t>
        </w:r>
      </w:hyperlink>
      <w:r>
        <w:rPr>
          <w:sz w:val="24"/>
        </w:rPr>
        <w:t xml:space="preserve"> ФГОС СПО, в рамках вариативной части.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2.6. При освоении социально-гуманитарного, общепрофессионального и профессионального циклов (далее - учебные циклы) выделяется объем учебных занятий, практики (в профессиональном цикле) и самостоятельной работы.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На проведение учебных занятий и практики должно быть выделено не менее 70 процентов от объема учебных циклов образовательной программы в очной форме обучения, не менее 25 процентов - в очно-заочной форме обучения и не менее 10 процентов - в заочной форме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 учебные циклы включается промежуточная аттестация обучающихся, которая осуществляется в рамках освоения указанных циклов в соответствии с формой, определяемой образовательной организацией, и оценочными материалами, позволяющими оценить достижение запланированных по отдельным дисциплинам (модулям) и практикам результатов обучения.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2.7. Обязательная часть социально-гуманитарного цикла образовательной программы должна предусматривать изучение следующих дисциплин: "История России", "Иностранный язык в профессиональной деятельности", "Безопасность жизнедеятельности", "Физическая культура", "Основы финансовой грамотности".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Общий объем дисциплины "Безопасность жизнедеятельности" в очной форме обучения не может быть менее 36 академических часов, из них на освоение основ военной службы (для юношей) - не менее 24 академических часов; для подгрупп девушек это время может быть использовано на освоение основ медицинских знаний.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Дисциплина "Физическая культура" должна способствовать формированию физической культуры выпускника и способности направленного использования средств физической культуры и спорта для сохранения и укрепления здоровья, психофизической подготовке к профессиональной деятельности, предупреждению профессиональных заболеваний.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2.8. Обязательная часть общепрофессионального цикла образовательной программы должна предусматривать изучение следующих дисциплин: "Техническое черчение", "Электротехника", "Охрана труда", "Основы материаловедения и технология общеслесарных работ", "Основы технической механики".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2.9. Профессиональный цикл образовательной программы включает профессиональные модули, которые формируются в соответствии с видами деятельности, предусмотренными </w:t>
      </w:r>
      <w:hyperlink w:history="0" w:anchor="P122" w:tooltip="2.4. Образовательная программа разрабатывается образовательной организацией в соответствии с ФГОС СПО и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дополнительными видами деятельности, сформированными образовательными организациями самостоятельно. В состав профессионального модуля входит один или несколько междисциплинарных курсов, которые устанавливаются образовательной организацией самостоятельно с учетом ПОП. Объем профессионального модуля составляет не менее 4 зачетных единиц.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0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2.10. Практика входит в профессиональный цикл и имеет следующие виды - учебная практика и производственная практика, которые реализуются в форме практической подготовки. Учебная и производственная практики реализуются как в несколько периодов, так и рассредоточенно, чередуясь с учебными занятиями. Типы практики устанавливаются образовательной организацией самостоятельно с учетом ПОП.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1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2.11. Образовательная организация должна предоставлять инвалидам и лицам с ограниченными возможностями здоровья (по их заявлению) возможность обучения по образовательной программе, учитывающей особенности их психофизического развития, индивидуальных возможностей и, при необходимости, обеспечивающей коррекцию нарушений развития и социальную адаптацию указанных лиц.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2.12. Государственная итоговая аттестация проводится в форме демонстрационного экзамена.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2.13. Государственная итоговая аттестация завершается присвоением квалификации квалифицированного рабочего, служащего, указанной в </w:t>
      </w:r>
      <w:hyperlink w:history="0" w:anchor="P44" w:tooltip="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при реализации образовательных программ среднего профессионального образования - программ подготовки квалифицированных рабочих, служащих по профессии 18.01.27 Машинист технологических насосов и компрессоров (далее соответственно - ФГОС СПО, образовательная программа, профессия) в соответствии с квалификацией квалифицированного рабочего, служаще...">
        <w:r>
          <w:rPr>
            <w:sz w:val="24"/>
            <w:color w:val="0000ff"/>
          </w:rPr>
          <w:t xml:space="preserve">пункте 1.1</w:t>
        </w:r>
      </w:hyperlink>
      <w:r>
        <w:rPr>
          <w:sz w:val="24"/>
        </w:rPr>
        <w:t xml:space="preserve"> ФГОС СПО.</w:t>
      </w:r>
    </w:p>
    <w:p>
      <w:pPr>
        <w:pStyle w:val="0"/>
        <w:jc w:val="both"/>
      </w:pPr>
      <w:r>
        <w:rPr>
          <w:sz w:val="24"/>
        </w:rPr>
      </w:r>
    </w:p>
    <w:bookmarkStart w:id="143" w:name="P143"/>
    <w:bookmarkEnd w:id="143"/>
    <w:p>
      <w:pPr>
        <w:pStyle w:val="2"/>
        <w:outlineLvl w:val="1"/>
        <w:jc w:val="center"/>
      </w:pPr>
      <w:r>
        <w:rPr>
          <w:sz w:val="24"/>
        </w:rPr>
        <w:t xml:space="preserve">III. ТРЕБОВАНИЯ К РЕЗУЛЬТАТАМ ОСВОЕНИЯ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3.1. В результате освоения образовательной программы у выпускника должны быть сформированы общие и профессиональные компетенции.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3.2. Выпускник, освоивший образовательную программу, должен обладать следующими общими компетенциями (далее - ОК):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01. Выбирать способы решения задач профессиональной деятельности применительно к различным контекстам;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02.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2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04. Эффективно взаимодействовать и работать в коллективе и команде;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06. Проявлять гражданско-патриотическую позицию, демонстрировать осознанное поведение на основе 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3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 09. Пользоваться профессиональной документацией на государственном и иностранном языках.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3.3. Выпускник, освоивший образовательную программу, должен обладать профессиональными компетенциями (далее - ПК), соответствующими видам деятельности (таблица N 2), предусмотренным </w:t>
      </w:r>
      <w:hyperlink w:history="0" w:anchor="P122" w:tooltip="2.4. Образовательная программа разрабатывается образовательной организацией в соответствии с ФГОС СПО и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сформированными в том числе на основе профессиональных стандартов (при наличии), указанных в ПОП: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4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Таблица N 2</w:t>
      </w:r>
    </w:p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628"/>
        <w:gridCol w:w="5442"/>
      </w:tblGrid>
      <w:tr>
        <w:tc>
          <w:tcPr>
            <w:tcW w:w="362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Виды деятельности</w:t>
            </w:r>
          </w:p>
        </w:tc>
        <w:tc>
          <w:tcPr>
            <w:tcW w:w="54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Профессиональные компетенции, соответствующие видам деятельности</w:t>
            </w:r>
          </w:p>
        </w:tc>
      </w:tr>
      <w:tr>
        <w:tc>
          <w:tcPr>
            <w:tcW w:w="3628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54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</w:tr>
      <w:tr>
        <w:tc>
          <w:tcPr>
            <w:tcW w:w="3628" w:type="dxa"/>
          </w:tcPr>
          <w:p>
            <w:pPr>
              <w:pStyle w:val="0"/>
            </w:pPr>
            <w:r>
              <w:rPr>
                <w:sz w:val="24"/>
              </w:rPr>
              <w:t xml:space="preserve">эксплуатация технологических компрессоров и насосов, компрессорных и насосных установок, оборудования для очистки и осушки газа, нефтепродуктоперекачивающей станции, а также вспомогательного оборудования</w:t>
            </w:r>
          </w:p>
        </w:tc>
        <w:tc>
          <w:tcPr>
            <w:tcW w:w="544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1.1. Проверять техническое состояние оборудования и установок, оборудования и сооружений нефтепродуктоперекачивающей станции.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1.2. Контролировать и регулировать режимы работы технологического оборудования с использованием средств автоматизации и контрольно-измерительных приборов, а также вести технологический процесс по перекачке нефти и нефтепродуктов на нефтепродуктоперекачивающей станции.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1.3. Вести учет расхода газов, рабочих агентов, электроэнергии, горюче-смазочных материалов.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1.4. Вести технологические процессы очистки и осушки газа.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1.5. Контролировать выход и качество газа.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1.6. Обеспечивать соблюдение требований охраны труда, промышленной, пожарной и экологической безопасности.</w:t>
            </w:r>
          </w:p>
        </w:tc>
      </w:tr>
      <w:tr>
        <w:tc>
          <w:tcPr>
            <w:tcW w:w="3628" w:type="dxa"/>
          </w:tcPr>
          <w:p>
            <w:pPr>
              <w:pStyle w:val="0"/>
            </w:pPr>
            <w:r>
              <w:rPr>
                <w:sz w:val="24"/>
              </w:rPr>
              <w:t xml:space="preserve">обслуживание и ремонт технологических компрессоров и насосов, компрессорных и насосных установок, оборудования для очистки и осушки газа, нефтепродуктоперекачивающей станции, а также вспомогательного оборудования</w:t>
            </w:r>
          </w:p>
        </w:tc>
        <w:tc>
          <w:tcPr>
            <w:tcW w:w="5442" w:type="dxa"/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ПК 2.1. Готовить основное и вспомогательное оборудование, установку к пуску и остановке при нормальных условиях.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2.2. Выполнять техническое обслуживание основного и вспомогательного оборудования, а также регистрировать выполнение ремонтных и наладочных работ на нефтепродуктоперекачивающей станции.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2.3. Проводить испытания вновь вводимого основного и вспомогательного оборудования.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2.4. Подготавливать к выводу в ремонт и вводу в эксплуатацию после ремонта основное и вспомогательное оборудование, установку в целом, а также основное и вспомогательное оборудование нефтепродуктоперекачивающей станции и систем автоматики дистанционного пульта управления.</w:t>
            </w:r>
          </w:p>
          <w:p>
            <w:pPr>
              <w:pStyle w:val="0"/>
              <w:jc w:val="both"/>
            </w:pPr>
            <w:r>
              <w:rPr>
                <w:sz w:val="24"/>
              </w:rPr>
              <w:t xml:space="preserve">ПК 2.5. Соблюдать требования охраны труда, промышленной, пожарной и экологической безопасности при обслуживании и ремонте основного и вспомогательного оборудования.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3.4. Образовательная организация при необходимости самостоятельно включает в образовательную программу дополнительные профессиональные компетенции по видам деятельности, установленным в соответствии с </w:t>
      </w:r>
      <w:hyperlink w:history="0" w:anchor="P122" w:tooltip="2.4. Образовательная программа разрабатывается образовательной организацией в соответствии с ФГОС СПО и с учетом ПОП и предполагает освоение следующих видов деятельности:">
        <w:r>
          <w:rPr>
            <w:sz w:val="24"/>
            <w:color w:val="0000ff"/>
          </w:rPr>
          <w:t xml:space="preserve">пунктом 2.4</w:t>
        </w:r>
      </w:hyperlink>
      <w:r>
        <w:rPr>
          <w:sz w:val="24"/>
        </w:rPr>
        <w:t xml:space="preserve"> ФГОС СПО, а также по видам деятельности, сформированным в вариативной части образовательной программы для учета потребностей регионального рынка труда.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Образовательная организация при необходимости вводит в вариативную часть учебных циклов образовательной программы модуль по освоению компетенций цифровой экономики, соответствующих одному или нескольким видам деятельности, осваиваемым в рамках образовательной программы.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3.5. Образовательная организация с учетом ПОП самостоятельно планирует результаты обучения по отдельным дисциплинам (модулям) и практикам, которые должны быть соотнесены с требуемыми результатами освоения образовательной программы.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35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Совокупность запланированных результатов обучения по дисциплинам (модулям) и практикам должна обеспечивать выпускнику освоение всех компетенций, установленных образовательной программой.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3.6. Обучающиеся, осваивающие образовательную программу дополнительно осваивают профессию рабочего, должность служащего (одну или несколько) в соответствии с перечнем профессий рабочих, должностей служащих, по которым осуществляется профессиональное обучение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</w:t>
      </w:r>
      <w:hyperlink w:history="0" r:id="rId36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Часть 7 статьи 73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22, ст. 3379).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ТРЕБОВАНИЯ К УСЛОВИЯМ РЕАЛИЗАЦИИ</w:t>
      </w:r>
    </w:p>
    <w:p>
      <w:pPr>
        <w:pStyle w:val="2"/>
        <w:jc w:val="center"/>
      </w:pPr>
      <w:r>
        <w:rPr>
          <w:sz w:val="24"/>
        </w:rPr>
        <w:t xml:space="preserve">ОБРАЗОВАТЕЛЬНОЙ ПРОГРАММЫ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4.1. Образовательная организация осуществляет образовательную деятельность по реализации образовательной программы среднего профессионального образования в соответствии с действующими санитарными нормами и правилами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Федеральный </w:t>
      </w:r>
      <w:hyperlink w:history="0" r:id="rId37" w:tooltip="Федеральный закон от 30.03.1999 N 52-ФЗ (ред. от 26.12.2024) &quot;О санитарно-эпидемиологическом благополучии населения&quot; {КонсультантПлюс}">
        <w:r>
          <w:rPr>
            <w:sz w:val="24"/>
            <w:color w:val="0000ff"/>
          </w:rPr>
          <w:t xml:space="preserve">закон</w:t>
        </w:r>
      </w:hyperlink>
      <w:r>
        <w:rPr>
          <w:sz w:val="24"/>
        </w:rPr>
        <w:t xml:space="preserve"> от 30 марта 1999 г. N 52-ФЗ "О санитарно-эпидемиологическом благополучии населения" (Собрание законодательства Российской Федерации, 1999, N 14, ст. 1650; 2021, N 27, ст. 5185); санитарные правила </w:t>
      </w:r>
      <w:hyperlink w:history="0" r:id="rId38" w:tooltip="Постановление Главного государственного санитарного врача РФ от 28.09.2020 N 28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СП 2.4.3648-20</w:t>
        </w:r>
      </w:hyperlink>
      <w:r>
        <w:rPr>
          <w:sz w:val="24"/>
        </w:rPr>
        <w:t xml:space="preserve">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61573); санитарно-эпидемиологические правила и нормы </w:t>
      </w:r>
      <w:hyperlink w:history="0" r:id="rId39" w:tooltip="Постановление Главного государственного санитарного врача РФ от 27.10.2020 N 32 &quot;Об утверждении санитарно-эпидемиологических правил и норм СанПиН 2.3/2.4.3590-20 &quot;Санитарно-эпидемиологические требования к организации общественного питания населения&quot; (вместе с &quot;СанПиН 2.3/2.4.3590-20. Санитарно-эпидемиологические правила и нормы...&quot;) (Зарегистрировано в Минюсте России 11.11.2020 N 60833) {КонсультантПлюс}">
        <w:r>
          <w:rPr>
            <w:sz w:val="24"/>
            <w:color w:val="0000ff"/>
          </w:rPr>
          <w:t xml:space="preserve">СанПиН 2.3/2.4.3590-20</w:t>
        </w:r>
      </w:hyperlink>
      <w:r>
        <w:rPr>
          <w:sz w:val="24"/>
        </w:rPr>
        <w:t xml:space="preserve"> "Санитарно-эпидемиологические требования к организации общественного питания населения", утвержденные постановлением Главного государственного санитарного врача Российской Федерации от 27 октября 2020 г. N 32 (зарегистрировано Министерством юстиции Российской Федерации 11 ноября 2020 г., регистрационный N 60833); санитарные правила и нормы </w:t>
      </w:r>
      <w:hyperlink w:history="0" r:id="rId40" w:tooltip="Постановление Главного государственного санитарного врача РФ от 28.01.2021 N 2 (ред. от 30.12.2022) &quot;Об утверждении санитарных правил и норм СанПиН 1.2.3685-21 &quot;Гигиенические нормативы и требования к обеспечению безопасности и (или) безвредности для человека факторов среды обитания&quot; (вместе с &quot;СанПиН 1.2.3685-21. Санитарные правила и нормы...&quot;) (Зарегистрировано в Минюсте России 29.01.2021 N 62296) {КонсультантПлюс}">
        <w:r>
          <w:rPr>
            <w:sz w:val="24"/>
            <w:color w:val="0000ff"/>
          </w:rPr>
          <w:t xml:space="preserve">СанПиН 1.2.3685-21</w:t>
        </w:r>
      </w:hyperlink>
      <w:r>
        <w:rPr>
          <w:sz w:val="24"/>
        </w:rPr>
        <w:t xml:space="preserve"> "Гигиенические нормативы и требования к обеспечению безопасности и (или) безвредности для человека факторов среды обитания", утвержденные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4.2. Требования к условиям реализации образовательной программы включают в себя общесистемные требования, требования к материально-техническому, учебно-методическому обеспечению, к организации воспитания обучающихся, кадровым и финансовым условиям реализации образовательной программы: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4.3. Общесистемные требования к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образовательная организация должна располагать на праве собственности или ином законном основании материально-технической базой, обеспечивающей проведение всех видов учебной деятельности обучающихся, включая проведение демонстрационного экзамена, предусмотренных учебным планом, с учетом ПОП;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41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случае реализации образовательной программы с использованием сетевой формы требования к реализации образовательной программы должны обеспечиваться совокупностью ресурсов материально-технического и учебно-методического обеспечения, предоставляемого организациями, участвующими в реализации образовательной программы с использованием сетевой формы.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4.4. Требования к материально-техническому и учебно-методическому обеспечению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специальные помещения должны представлять собой учебные аудитории, лаборатории, мастерские, оснащенные оборудованием, техническими средствами обучения для проведения занятий всех видов, предусмотренных образовательной программой, в том числе групповых и индивидуальных консультаций, а также для проведения текущего контроля, промежуточной и государственной итоговой аттестации, помещения для организации самостоятельной и воспитательной работы;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все виды учебной деятельности обучающихся, предусмотренные учебным планом, включая промежуточную и государственную итоговую аттестацию, должны быть обеспечены расходными материалами;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помещения для организации самостоятельной и воспитательной работы должны быть оснащены компьютерной техникой с возможностью подключения к информационно-телекоммуникационной сети "Интернет" и обеспечением доступа в электронную информационно-образовательную среду образовательной организации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допускается замена оборудования его виртуальными аналогами;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образовательная организация должна быть обеспечена необходимым комплектом лицензионного и свободно распространяемого программного обеспечения, в том числе отечественного производства;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при использовании в образовательном процессе печатных изданий библиотечный фонд должен быть укомплектован печатными изданиями из расчета не менее 0,25 экземпляра каждого из изданий, указанных в рабочих программах дисциплин (модулей), практик, на одного обучающегося из числа лиц, одновременно осваивающих соответствующую дисциплину (модуль), проходящих соответствующую практику;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в качестве основной литературы образовательная организация использует учебники, учебные пособия, предусмотренные ПОП;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42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з) в случае наличия электронной информационно-образовательной среды допускается замена печатного библиотечного фонда с предоставлением права одновременного доступа не менее 25 процентов обучающихся к цифровой (электронной) библиотеке;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и) обучающимся должен быть обеспечен доступ, в том числе в случае применения электронного обучения, дистанционных образовательных технологий, к современным профессиональным базам данных и информационным справочным системам, состав которых определяется в рабочих программах дисциплин (модулей) и подлежит обновлению (при необходимости);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к) обучающиеся инвалиды и лица с ограниченными возможностями здоровья должны быть обеспечены печатными и (или) электронными учебными изданиями, адаптированными при необходимости для обучения указанных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л) образовательная программа должна обеспечиваться учебно-методической документацией по всем учебным дисциплинам (модулям), видам практики, государственной итоговой аттестации;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м) рекомендации по иному материально-техническому и учебно-методическому обеспечению реализации образовательной программы определяются ПОП.</w:t>
      </w:r>
    </w:p>
    <w:p>
      <w:pPr>
        <w:pStyle w:val="0"/>
        <w:jc w:val="both"/>
      </w:pPr>
      <w:r>
        <w:rPr>
          <w:sz w:val="24"/>
        </w:rPr>
        <w:t xml:space="preserve">(в ред. </w:t>
      </w:r>
      <w:hyperlink w:history="0" r:id="rId43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4.5. Требования к кадровым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реализация образовательной программы обеспечивается педагогическими работниками образовательной организации, а также лицами, привлекаемыми к реализации образовательной программы на иных условиях, в том числе из числа руководителей и работников организаций, направление деятельности которых соответствует одной из областей профессиональной деятельности, указанных в </w:t>
      </w:r>
      <w:hyperlink w:history="0" w:anchor="P78" w:tooltip="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9 Добыча, переработка, транспортировка нефти и газа, 26 Химическое, химико-технологическое производство,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 (имеющих стаж работы в данной профессиональной области не менее трех лет);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квалификация педагогических работников образовательной организации должна отвечать квалификационным требованиям, указанным в квалификационных справочниках и (или) профессиональных стандартах (при наличии);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педагогические работники, привлекаемые к реализации образовательной программы, должны получать дополнительное профессиональное образование по программам повышения квалификации не реже одного раза в три года с учетом расширения спектра профессиональных компетенций, в том числе в форме стажировки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8" w:tooltip="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9 Добыча, переработка, транспортировка нефти и газа, 26 Химическое, химико-технологическое производство,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одной из областей профессиональной деятельности, указанных в </w:t>
      </w:r>
      <w:hyperlink w:history="0" w:anchor="P78" w:tooltip="1.13. Области профессиональной деятельности, в которых выпускники, освоившие образовательную программу, могут осуществлять профессиональную деятельность: 19 Добыча, переработка, транспортировка нефти и газа, 26 Химическое, химико-технологическое производство, 40 Сквозные виды профессиональной деятельности в промышленности &lt;5&gt;.">
        <w:r>
          <w:rPr>
            <w:sz w:val="24"/>
            <w:color w:val="0000ff"/>
          </w:rPr>
          <w:t xml:space="preserve">пункте 1.13</w:t>
        </w:r>
      </w:hyperlink>
      <w:r>
        <w:rPr>
          <w:sz w:val="24"/>
        </w:rPr>
        <w:t xml:space="preserve"> ФГОС СПО,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 процентов.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4.6. Требование к финансовым условиям реализации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финансовое обеспечение реализации образовательной программы должно осуществляться в объеме не ниже определенного в соответствии с бюджетным законодательством Российской Федерации &lt;8&gt; и Федеральным </w:t>
      </w:r>
      <w:hyperlink w:history="0" r:id="rId44" w:tooltip="Федеральный закон от 29.12.2012 N 273-ФЗ (ред. от 28.12.2024) &quot;Об образовании в Российской Федерации&quot;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29 декабря 2012 г. N 273-ФЗ "Об образовании в Российской Федерации" &lt;9&gt;.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Бюджетный </w:t>
      </w:r>
      <w:hyperlink w:history="0" r:id="rId45" w:tooltip="&quot;Бюджетный кодекс Российской Федерации&quot; от 31.07.1998 N 145-ФЗ (ред. от 26.12.2024) (с изм. и доп., вступ. в силу с 01.01.2025) {КонсультантПлюс}">
        <w:r>
          <w:rPr>
            <w:sz w:val="24"/>
            <w:color w:val="0000ff"/>
          </w:rPr>
          <w:t xml:space="preserve">кодекс</w:t>
        </w:r>
      </w:hyperlink>
      <w:r>
        <w:rPr>
          <w:sz w:val="24"/>
        </w:rPr>
        <w:t xml:space="preserve"> Российской Федерации (Собрание законодательства Российской Федерации, 1998, N 31, ст. 3823; 2022, N 29, ст. 5305).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&lt;9&gt; Собрание законодательства Российской Федерации, 2012, N 53, ст. 7598; 2022, N 29, ст. 5262.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2"/>
        <w:ind w:firstLine="540"/>
        <w:jc w:val="both"/>
      </w:pPr>
      <w:r>
        <w:rPr>
          <w:sz w:val="24"/>
        </w:rPr>
        <w:t xml:space="preserve">4.7. Требования к применяемым механизмам оценки качества образовательной программы: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качество образовательной программы определяется в рамках системы внутренней оценки, а также системы внешней оценки на добровольной основе;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б) в целях совершенствования образовательной программы образовательная организация при проведении регулярной внутренней оценки качества образовательной программы привлекает работодателей и их объединения, иных юридических и (или) физических лиц, включая педагогических работников образовательной организации;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внешняя оценка качества образовательной программы может осуществляться в рамках профессионально-общественной аккредитации, проводимой работодателями, их объединениями, а также уполномоченными ими организациями в целях признания качества и уровня подготовки выпускников, отвечающих требованиям профессиональных стандартов, требованиям рынка труда к специалистам соответствующего профиля.</w:t>
      </w:r>
    </w:p>
    <w:p>
      <w:pPr>
        <w:pStyle w:val="0"/>
        <w:jc w:val="both"/>
      </w:pPr>
      <w:r>
        <w:rPr>
          <w:sz w:val="24"/>
        </w:rPr>
        <w:t xml:space="preserve">(пп. "в" в ред. </w:t>
      </w:r>
      <w:hyperlink w:history="0" r:id="rId46" w:tooltip="Приказ Минпросвещения России от 03.07.2024 N 464 &quot;О внесении изменений в федеральные государственные образовательные стандарты среднего профессионального образования&quot; (Зарегистрировано в Минюсте России 09.08.2024 N 79088) {КонсультантПлюс}">
        <w:r>
          <w:rPr>
            <w:sz w:val="24"/>
            <w:color w:val="0000ff"/>
          </w:rPr>
          <w:t xml:space="preserve">Приказа</w:t>
        </w:r>
      </w:hyperlink>
      <w:r>
        <w:rPr>
          <w:sz w:val="24"/>
        </w:rPr>
        <w:t xml:space="preserve"> Минпросвещения России от 03.07.2024 N 464)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20.09.2022 N 854</w:t>
            <w:br/>
            <w:t>(ред. от 03.07.2024)</w:t>
            <w:br/>
            <w:t>"Об утверждении федерального государственного обра...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04.02.2025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83090&amp;date=04.02.2025&amp;dst=112759&amp;field=134&amp;demo=2" TargetMode = "External"/>
	<Relationship Id="rId8" Type="http://schemas.openxmlformats.org/officeDocument/2006/relationships/hyperlink" Target="https://login.consultant.ru/link/?req=doc&amp;base=LAW&amp;n=488439&amp;date=04.02.2025&amp;dst=100051&amp;field=134&amp;demo=2" TargetMode = "External"/>
	<Relationship Id="rId9" Type="http://schemas.openxmlformats.org/officeDocument/2006/relationships/hyperlink" Target="https://login.consultant.ru/link/?req=doc&amp;base=LAW&amp;n=481262&amp;date=04.02.2025&amp;dst=100072&amp;field=134&amp;demo=2" TargetMode = "External"/>
	<Relationship Id="rId10" Type="http://schemas.openxmlformats.org/officeDocument/2006/relationships/hyperlink" Target="https://login.consultant.ru/link/?req=doc&amp;base=LAW&amp;n=398649&amp;date=04.02.2025&amp;dst=100012&amp;field=134&amp;demo=2" TargetMode = "External"/>
	<Relationship Id="rId11" Type="http://schemas.openxmlformats.org/officeDocument/2006/relationships/hyperlink" Target="https://login.consultant.ru/link/?req=doc&amp;base=LAW&amp;n=127684&amp;date=04.02.2025&amp;dst=100289&amp;field=134&amp;demo=2" TargetMode = "External"/>
	<Relationship Id="rId12" Type="http://schemas.openxmlformats.org/officeDocument/2006/relationships/hyperlink" Target="https://login.consultant.ru/link/?req=doc&amp;base=LAW&amp;n=398012&amp;date=04.02.2025&amp;demo=2" TargetMode = "External"/>
	<Relationship Id="rId13" Type="http://schemas.openxmlformats.org/officeDocument/2006/relationships/hyperlink" Target="https://login.consultant.ru/link/?req=doc&amp;base=LAW&amp;n=483090&amp;date=04.02.2025&amp;dst=112759&amp;field=134&amp;demo=2" TargetMode = "External"/>
	<Relationship Id="rId14" Type="http://schemas.openxmlformats.org/officeDocument/2006/relationships/hyperlink" Target="https://login.consultant.ru/link/?req=doc&amp;base=LAW&amp;n=493177&amp;date=04.02.2025&amp;dst=100022&amp;field=134&amp;demo=2" TargetMode = "External"/>
	<Relationship Id="rId15" Type="http://schemas.openxmlformats.org/officeDocument/2006/relationships/hyperlink" Target="https://login.consultant.ru/link/?req=doc&amp;base=LAW&amp;n=470946&amp;date=04.02.2025&amp;dst=4&amp;field=134&amp;demo=2" TargetMode = "External"/>
	<Relationship Id="rId16" Type="http://schemas.openxmlformats.org/officeDocument/2006/relationships/hyperlink" Target="https://login.consultant.ru/link/?req=doc&amp;base=LAW&amp;n=483090&amp;date=04.02.2025&amp;dst=112760&amp;field=134&amp;demo=2" TargetMode = "External"/>
	<Relationship Id="rId17" Type="http://schemas.openxmlformats.org/officeDocument/2006/relationships/hyperlink" Target="https://login.consultant.ru/link/?req=doc&amp;base=LAW&amp;n=470946&amp;date=04.02.2025&amp;dst=4&amp;field=134&amp;demo=2" TargetMode = "External"/>
	<Relationship Id="rId18" Type="http://schemas.openxmlformats.org/officeDocument/2006/relationships/hyperlink" Target="https://login.consultant.ru/link/?req=doc&amp;base=LAW&amp;n=483090&amp;date=04.02.2025&amp;dst=112761&amp;field=134&amp;demo=2" TargetMode = "External"/>
	<Relationship Id="rId19" Type="http://schemas.openxmlformats.org/officeDocument/2006/relationships/hyperlink" Target="https://login.consultant.ru/link/?req=doc&amp;base=LAW&amp;n=483090&amp;date=04.02.2025&amp;dst=112762&amp;field=134&amp;demo=2" TargetMode = "External"/>
	<Relationship Id="rId20" Type="http://schemas.openxmlformats.org/officeDocument/2006/relationships/hyperlink" Target="https://login.consultant.ru/link/?req=doc&amp;base=LAW&amp;n=494980&amp;date=04.02.2025&amp;dst=446&amp;field=134&amp;demo=2" TargetMode = "External"/>
	<Relationship Id="rId21" Type="http://schemas.openxmlformats.org/officeDocument/2006/relationships/hyperlink" Target="https://login.consultant.ru/link/?req=doc&amp;base=LAW&amp;n=494980&amp;date=04.02.2025&amp;dst=100249&amp;field=134&amp;demo=2" TargetMode = "External"/>
	<Relationship Id="rId22" Type="http://schemas.openxmlformats.org/officeDocument/2006/relationships/hyperlink" Target="https://login.consultant.ru/link/?req=doc&amp;base=LAW&amp;n=214720&amp;date=04.02.2025&amp;dst=100086&amp;field=134&amp;demo=2" TargetMode = "External"/>
	<Relationship Id="rId23" Type="http://schemas.openxmlformats.org/officeDocument/2006/relationships/hyperlink" Target="https://login.consultant.ru/link/?req=doc&amp;base=LAW&amp;n=214720&amp;date=04.02.2025&amp;dst=100100&amp;field=134&amp;demo=2" TargetMode = "External"/>
	<Relationship Id="rId24" Type="http://schemas.openxmlformats.org/officeDocument/2006/relationships/hyperlink" Target="https://login.consultant.ru/link/?req=doc&amp;base=LAW&amp;n=214720&amp;date=04.02.2025&amp;dst=100116&amp;field=134&amp;demo=2" TargetMode = "External"/>
	<Relationship Id="rId25" Type="http://schemas.openxmlformats.org/officeDocument/2006/relationships/hyperlink" Target="https://login.consultant.ru/link/?req=doc&amp;base=LAW&amp;n=214720&amp;date=04.02.2025&amp;dst=100047&amp;field=134&amp;demo=2" TargetMode = "External"/>
	<Relationship Id="rId26" Type="http://schemas.openxmlformats.org/officeDocument/2006/relationships/hyperlink" Target="https://login.consultant.ru/link/?req=doc&amp;base=LAW&amp;n=483090&amp;date=04.02.2025&amp;dst=112763&amp;field=134&amp;demo=2" TargetMode = "External"/>
	<Relationship Id="rId27" Type="http://schemas.openxmlformats.org/officeDocument/2006/relationships/hyperlink" Target="https://login.consultant.ru/link/?req=doc&amp;base=LAW&amp;n=483090&amp;date=04.02.2025&amp;dst=112765&amp;field=134&amp;demo=2" TargetMode = "External"/>
	<Relationship Id="rId28" Type="http://schemas.openxmlformats.org/officeDocument/2006/relationships/hyperlink" Target="https://login.consultant.ru/link/?req=doc&amp;base=LAW&amp;n=483090&amp;date=04.02.2025&amp;dst=112775&amp;field=134&amp;demo=2" TargetMode = "External"/>
	<Relationship Id="rId29" Type="http://schemas.openxmlformats.org/officeDocument/2006/relationships/hyperlink" Target="https://login.consultant.ru/link/?req=doc&amp;base=LAW&amp;n=483090&amp;date=04.02.2025&amp;dst=112776&amp;field=134&amp;demo=2" TargetMode = "External"/>
	<Relationship Id="rId30" Type="http://schemas.openxmlformats.org/officeDocument/2006/relationships/hyperlink" Target="https://login.consultant.ru/link/?req=doc&amp;base=LAW&amp;n=483090&amp;date=04.02.2025&amp;dst=112777&amp;field=134&amp;demo=2" TargetMode = "External"/>
	<Relationship Id="rId31" Type="http://schemas.openxmlformats.org/officeDocument/2006/relationships/hyperlink" Target="https://login.consultant.ru/link/?req=doc&amp;base=LAW&amp;n=483090&amp;date=04.02.2025&amp;dst=112778&amp;field=134&amp;demo=2" TargetMode = "External"/>
	<Relationship Id="rId32" Type="http://schemas.openxmlformats.org/officeDocument/2006/relationships/hyperlink" Target="https://login.consultant.ru/link/?req=doc&amp;base=LAW&amp;n=483090&amp;date=04.02.2025&amp;dst=112780&amp;field=134&amp;demo=2" TargetMode = "External"/>
	<Relationship Id="rId33" Type="http://schemas.openxmlformats.org/officeDocument/2006/relationships/hyperlink" Target="https://login.consultant.ru/link/?req=doc&amp;base=LAW&amp;n=483090&amp;date=04.02.2025&amp;dst=112781&amp;field=134&amp;demo=2" TargetMode = "External"/>
	<Relationship Id="rId34" Type="http://schemas.openxmlformats.org/officeDocument/2006/relationships/hyperlink" Target="https://login.consultant.ru/link/?req=doc&amp;base=LAW&amp;n=483090&amp;date=04.02.2025&amp;dst=112782&amp;field=134&amp;demo=2" TargetMode = "External"/>
	<Relationship Id="rId35" Type="http://schemas.openxmlformats.org/officeDocument/2006/relationships/hyperlink" Target="https://login.consultant.ru/link/?req=doc&amp;base=LAW&amp;n=483090&amp;date=04.02.2025&amp;dst=112783&amp;field=134&amp;demo=2" TargetMode = "External"/>
	<Relationship Id="rId36" Type="http://schemas.openxmlformats.org/officeDocument/2006/relationships/hyperlink" Target="https://login.consultant.ru/link/?req=doc&amp;base=LAW&amp;n=494980&amp;date=04.02.2025&amp;dst=415&amp;field=134&amp;demo=2" TargetMode = "External"/>
	<Relationship Id="rId37" Type="http://schemas.openxmlformats.org/officeDocument/2006/relationships/hyperlink" Target="https://login.consultant.ru/link/?req=doc&amp;base=LAW&amp;n=494620&amp;date=04.02.2025&amp;demo=2" TargetMode = "External"/>
	<Relationship Id="rId38" Type="http://schemas.openxmlformats.org/officeDocument/2006/relationships/hyperlink" Target="https://login.consultant.ru/link/?req=doc&amp;base=LAW&amp;n=371594&amp;date=04.02.2025&amp;dst=100047&amp;field=134&amp;demo=2" TargetMode = "External"/>
	<Relationship Id="rId39" Type="http://schemas.openxmlformats.org/officeDocument/2006/relationships/hyperlink" Target="https://login.consultant.ru/link/?req=doc&amp;base=LAW&amp;n=367564&amp;date=04.02.2025&amp;dst=100037&amp;field=134&amp;demo=2" TargetMode = "External"/>
	<Relationship Id="rId40" Type="http://schemas.openxmlformats.org/officeDocument/2006/relationships/hyperlink" Target="https://login.consultant.ru/link/?req=doc&amp;base=LAW&amp;n=441707&amp;date=04.02.2025&amp;dst=100137&amp;field=134&amp;demo=2" TargetMode = "External"/>
	<Relationship Id="rId41" Type="http://schemas.openxmlformats.org/officeDocument/2006/relationships/hyperlink" Target="https://login.consultant.ru/link/?req=doc&amp;base=LAW&amp;n=483090&amp;date=04.02.2025&amp;dst=112784&amp;field=134&amp;demo=2" TargetMode = "External"/>
	<Relationship Id="rId42" Type="http://schemas.openxmlformats.org/officeDocument/2006/relationships/hyperlink" Target="https://login.consultant.ru/link/?req=doc&amp;base=LAW&amp;n=483090&amp;date=04.02.2025&amp;dst=112786&amp;field=134&amp;demo=2" TargetMode = "External"/>
	<Relationship Id="rId43" Type="http://schemas.openxmlformats.org/officeDocument/2006/relationships/hyperlink" Target="https://login.consultant.ru/link/?req=doc&amp;base=LAW&amp;n=483090&amp;date=04.02.2025&amp;dst=112787&amp;field=134&amp;demo=2" TargetMode = "External"/>
	<Relationship Id="rId44" Type="http://schemas.openxmlformats.org/officeDocument/2006/relationships/hyperlink" Target="https://login.consultant.ru/link/?req=doc&amp;base=LAW&amp;n=494980&amp;date=04.02.2025&amp;demo=2" TargetMode = "External"/>
	<Relationship Id="rId45" Type="http://schemas.openxmlformats.org/officeDocument/2006/relationships/hyperlink" Target="https://login.consultant.ru/link/?req=doc&amp;base=LAW&amp;n=466790&amp;date=04.02.2025&amp;demo=2" TargetMode = "External"/>
	<Relationship Id="rId46" Type="http://schemas.openxmlformats.org/officeDocument/2006/relationships/hyperlink" Target="https://login.consultant.ru/link/?req=doc&amp;base=LAW&amp;n=483090&amp;date=04.02.2025&amp;dst=112788&amp;field=134&amp;demo=2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20.09.2022 N 854
(ред. от 03.07.2024)
"Об утверждении федерального государственного образовательного стандарта среднего профессионального образования по профессии 18.01.27 Машинист технологических насосов и компрессоров"
(Зарегистрировано в Минюсте России 26.10.2022 N 70703)</dc:title>
  <dcterms:created xsi:type="dcterms:W3CDTF">2025-02-04T20:02:36Z</dcterms:created>
</cp:coreProperties>
</file>