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27.11.2023 N 890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специальности 15.02.18 Техническая эксплуатация и обслуживание роботизированного производства (по отраслям)"</w:t>
              <w:br/>
              <w:t xml:space="preserve">(Зарегистрировано в Минюсте России 10.01.2024 N 76793)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04.02.2025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0"/>
        <w:outlineLvl w:val="0"/>
      </w:pPr>
      <w:r>
        <w:rPr>
          <w:sz w:val="24"/>
        </w:rPr>
        <w:t xml:space="preserve">Зарегистрировано в Минюсте России 10 января 2024 г. N 76793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ПРИКАЗ</w:t>
      </w:r>
    </w:p>
    <w:p>
      <w:pPr>
        <w:pStyle w:val="2"/>
        <w:jc w:val="center"/>
      </w:pPr>
      <w:r>
        <w:rPr>
          <w:sz w:val="24"/>
        </w:rPr>
        <w:t xml:space="preserve">от 27 ноября 2023 г. N 890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</w:t>
      </w:r>
    </w:p>
    <w:p>
      <w:pPr>
        <w:pStyle w:val="2"/>
        <w:jc w:val="center"/>
      </w:pPr>
      <w:r>
        <w:rPr>
          <w:sz w:val="24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4"/>
        </w:rPr>
        <w:t xml:space="preserve">15.02.18 ТЕХНИЧЕСКАЯ ЭКСПЛУАТАЦИЯ И ОБСЛУЖИВАНИЕ</w:t>
      </w:r>
    </w:p>
    <w:p>
      <w:pPr>
        <w:pStyle w:val="2"/>
        <w:jc w:val="center"/>
      </w:pPr>
      <w:r>
        <w:rPr>
          <w:sz w:val="24"/>
        </w:rPr>
        <w:t xml:space="preserve">РОБОТИЗИРОВАННОГО ПРОИЗВОДСТВА (ПО ОТРАСЛЯМ)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7" w:tooltip="Постановление Правительства РФ от 28.07.2018 N 884 (ред. от 17.10.2024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4"/>
            <w:color w:val="0000ff"/>
          </w:rPr>
          <w:t xml:space="preserve">подпунктом 4.2.30 пункта 4</w:t>
        </w:r>
      </w:hyperlink>
      <w:r>
        <w:rPr>
          <w:sz w:val="24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w:history="0" r:id="rId8" w:tooltip="Постановление Правительства РФ от 12.04.2019 N 434 (ред. от 20.07.2024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&quot; {КонсультантПлюс}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 Утвердить прилагаемый федеральный государственный образовательный </w:t>
      </w:r>
      <w:hyperlink w:history="0" w:anchor="P33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профессионального образования по специальности 15.02.18 Техническая эксплуатация и обслуживание роботизированного производства (по отраслям) (далее - стандарт).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 Установить, что: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вправе осуществлять в соответствии со </w:t>
      </w:r>
      <w:hyperlink w:history="0" w:anchor="P33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обучение лиц, зачисленных до вступления в силу настоящего приказа, с их согласия;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прием на обучение в соответствии с федеральным государственным образовательным </w:t>
      </w:r>
      <w:hyperlink w:history="0" r:id="rId9" w:tooltip="Приказ Минобрнауки России от 09.12.2016 N 1575 (ред. от 17.12.2020) &quot;Об утверждении федерального государственного образовательного стандарта среднего профессионального образования по специальности 15.02.11 Техническая эксплуатация и обслуживание роботизированного производства&quot; (Зарегистрировано в Минюсте России 26.12.2016 N 44940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специальности </w:t>
      </w:r>
      <w:hyperlink w:history="0" r:id="rId10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4"/>
            <w:color w:val="0000ff"/>
          </w:rPr>
          <w:t xml:space="preserve">15.02.11</w:t>
        </w:r>
      </w:hyperlink>
      <w:r>
        <w:rPr>
          <w:sz w:val="24"/>
        </w:rPr>
        <w:t xml:space="preserve"> Техническая эксплуатация и обслуживание роботизированного производства, утвержденным приказом Министерства образования и науки Российской Федерации от 9 декабря 2016 г. N 1575 (зарегистрирован Министерством юстиции Российской Федерации 26 декабря 2016 г., регистрационный N 44940), с изменениями, внесенными приказом Министерства просвещения Российской Федерации от 17 декабря 2020 г. N 747 (зарегистрирован Министерством юстиции Российской Федерации 22 января 2021 г., регистрационный N 62178), и федеральным государственным образовательным </w:t>
      </w:r>
      <w:hyperlink w:history="0" r:id="rId11" w:tooltip="Приказ Минобрнауки России от 09.12.2016 N 1582 (ред. от 01.09.2022) &quot;Об утверждении федерального государственного образовательного стандарта среднего профессионального образования по специальности 15.02.14 Оснащение средствами автоматизации технологических процессов и производств (по отраслям)&quot; (Зарегистрировано в Минюсте России 23.12.2016 N 44917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специальности </w:t>
      </w:r>
      <w:hyperlink w:history="0" r:id="rId12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4"/>
            <w:color w:val="0000ff"/>
          </w:rPr>
          <w:t xml:space="preserve">15.02.14</w:t>
        </w:r>
      </w:hyperlink>
      <w:r>
        <w:rPr>
          <w:sz w:val="24"/>
        </w:rPr>
        <w:t xml:space="preserve"> Оснащение средствами автоматизации технологических процессов и производств (по отраслям), утвержденным приказом Министерства образования и науки Российской Федерации от 9 декабря 2016 г. N 1582 (зарегистрирован Министерством юстиции Российской Федерации 23 декабря 2016 г., регистрационный N 44917), с изменениями, внесенными приказами Министерства просвещения Российской Федерации от 17 декабря 2020 г. N 747 (зарегистрирован Министерством юстиции Российской Федерации 22 января 2021 г., регистрационный N 62178) и от 1 сентября 2022 г. N 796 (зарегистрирован Министерством юстиции Российской Федерации 11 октября 2022 г., регистрационный N 70461), прекращается с 31 декабря 2024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Министр</w:t>
      </w:r>
    </w:p>
    <w:p>
      <w:pPr>
        <w:pStyle w:val="0"/>
        <w:jc w:val="right"/>
      </w:pPr>
      <w:r>
        <w:rPr>
          <w:sz w:val="24"/>
        </w:rPr>
        <w:t xml:space="preserve">С.С.КРАВЦОВ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4"/>
        </w:rPr>
        <w:t xml:space="preserve">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27 ноября 2023 г. N 890</w:t>
      </w:r>
    </w:p>
    <w:p>
      <w:pPr>
        <w:pStyle w:val="0"/>
        <w:jc w:val="both"/>
      </w:pPr>
      <w:r>
        <w:rPr>
          <w:sz w:val="24"/>
        </w:rPr>
      </w:r>
    </w:p>
    <w:bookmarkStart w:id="33" w:name="P33"/>
    <w:bookmarkEnd w:id="33"/>
    <w:p>
      <w:pPr>
        <w:pStyle w:val="2"/>
        <w:jc w:val="center"/>
      </w:pPr>
      <w:r>
        <w:rPr>
          <w:sz w:val="24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4"/>
        </w:rPr>
        <w:t xml:space="preserve">15.02.18 ТЕХНИЧЕСКАЯ ЭКСПЛУАТАЦИЯ И ОБСЛУЖИВАНИЕ</w:t>
      </w:r>
    </w:p>
    <w:p>
      <w:pPr>
        <w:pStyle w:val="2"/>
        <w:jc w:val="center"/>
      </w:pPr>
      <w:r>
        <w:rPr>
          <w:sz w:val="24"/>
        </w:rPr>
        <w:t xml:space="preserve">РОБОТИЗИРОВАННОГО ПРОИЗВОДСТВА (ПО ОТРАСЛЯМ)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ОБЩИЕ ПОЛОЖЕНИЯ</w:t>
      </w:r>
    </w:p>
    <w:p>
      <w:pPr>
        <w:pStyle w:val="0"/>
        <w:jc w:val="both"/>
      </w:pPr>
      <w:r>
        <w:rPr>
          <w:sz w:val="24"/>
        </w:rPr>
      </w:r>
    </w:p>
    <w:bookmarkStart w:id="40" w:name="P40"/>
    <w:bookmarkEnd w:id="40"/>
    <w:p>
      <w:pPr>
        <w:pStyle w:val="0"/>
        <w:ind w:firstLine="540"/>
        <w:jc w:val="both"/>
      </w:pPr>
      <w:r>
        <w:rPr>
          <w:sz w:val="24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</w:t>
      </w:r>
      <w:hyperlink w:history="0" r:id="rId13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15.02.18</w:t>
        </w:r>
      </w:hyperlink>
      <w:r>
        <w:rPr>
          <w:sz w:val="24"/>
        </w:rPr>
        <w:t xml:space="preserve"> Техническая эксплуатация и обслуживание роботизированного производства (по отраслям) (далее соответственно - ФГОС СПО, образовательная программа, специальность) в соответствии с квалификацией специалиста среднего звена "техник" &lt;1&gt;.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</w:t>
      </w:r>
      <w:hyperlink w:history="0" r:id="rId14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Перечень</w:t>
        </w:r>
      </w:hyperlink>
      <w:r>
        <w:rPr>
          <w:sz w:val="24"/>
        </w:rP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приказами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 и от 25 сентября 2023 г. N 717 (зарегистрирован Министерством юстиции Российской Федерации 26 октября 2023 г., регистрационный N 75754).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w:history="0" r:id="rId15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стандарта</w:t>
        </w:r>
      </w:hyperlink>
      <w:r>
        <w:rPr>
          <w:sz w:val="24"/>
        </w:rPr>
        <w:t xml:space="preserve"> среднего общего образования &lt;2&gt; и ФГОС СПО с учетом получаемой специальности.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&lt;2&gt; Федеральный государственный образовательный </w:t>
      </w:r>
      <w:hyperlink w:history="0" r:id="rId16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&lt;3&gt; </w:t>
      </w:r>
      <w:hyperlink w:history="0" r:id="rId17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2 статьи 12.1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&lt;4&gt; </w:t>
      </w:r>
      <w:hyperlink w:history="0" r:id="rId18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Статья 14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bookmarkStart w:id="62" w:name="P62"/>
    <w:bookmarkEnd w:id="62"/>
    <w:p>
      <w:pPr>
        <w:pStyle w:val="0"/>
        <w:ind w:firstLine="540"/>
        <w:jc w:val="both"/>
      </w:pPr>
      <w:r>
        <w:rPr>
          <w:sz w:val="24"/>
        </w:rPr>
        <w:t xml:space="preserve"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среднего общего образования - 2 года 10 месяцев;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основного общего образования - 3 года 10 месяцев.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Срок получения образования по образовательной программе в очно-заочной и заочной формах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 не более чем на 1 год.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1.10. 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образования, установленного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history="0" w:anchor="P62" w:tooltip="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">
        <w:r>
          <w:rPr>
            <w:sz w:val="24"/>
            <w:color w:val="0000ff"/>
          </w:rPr>
          <w:t xml:space="preserve">пунктом 1.9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ПОП, но не более чем на 40 процентов от срока получения образования и объема образовательной программы, установленных ФГОС СПО &lt;5&gt;.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&lt;5&gt; </w:t>
      </w:r>
      <w:hyperlink w:history="0" r:id="rId19" w:tooltip="Постановление Правительства РФ от 16.03.2022 N 387 &quot;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сионалитет&quot; (вместе с &quot;Положением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 {КонсультантПлюс}">
        <w:r>
          <w:rPr>
            <w:sz w:val="24"/>
            <w:color w:val="0000ff"/>
          </w:rPr>
          <w:t xml:space="preserve">Пункт 11</w:t>
        </w:r>
      </w:hyperlink>
      <w:r>
        <w:rPr>
          <w:sz w:val="24"/>
        </w:rP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387, действующим до 1 января 2026 г.</w:t>
      </w:r>
    </w:p>
    <w:p>
      <w:pPr>
        <w:pStyle w:val="0"/>
        <w:jc w:val="both"/>
      </w:pPr>
      <w:r>
        <w:rPr>
          <w:sz w:val="24"/>
        </w:rPr>
      </w:r>
    </w:p>
    <w:bookmarkStart w:id="74" w:name="P74"/>
    <w:bookmarkEnd w:id="74"/>
    <w:p>
      <w:pPr>
        <w:pStyle w:val="0"/>
        <w:ind w:firstLine="540"/>
        <w:jc w:val="both"/>
      </w:pPr>
      <w:r>
        <w:rPr>
          <w:sz w:val="24"/>
        </w:rPr>
        <w:t xml:space="preserve">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w:history="0" r:id="rId20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25</w:t>
        </w:r>
      </w:hyperlink>
      <w:r>
        <w:rPr>
          <w:sz w:val="24"/>
        </w:rPr>
        <w:t xml:space="preserve"> Ракетно-космическая промышленность, </w:t>
      </w:r>
      <w:hyperlink w:history="0" r:id="rId21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28</w:t>
        </w:r>
      </w:hyperlink>
      <w:r>
        <w:rPr>
          <w:sz w:val="24"/>
        </w:rPr>
        <w:t xml:space="preserve"> Производство машин и оборудования, </w:t>
      </w:r>
      <w:hyperlink w:history="0" r:id="rId22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30</w:t>
        </w:r>
      </w:hyperlink>
      <w:r>
        <w:rPr>
          <w:sz w:val="24"/>
        </w:rPr>
        <w:t xml:space="preserve"> Судостроение, </w:t>
      </w:r>
      <w:hyperlink w:history="0" r:id="rId23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31</w:t>
        </w:r>
      </w:hyperlink>
      <w:r>
        <w:rPr>
          <w:sz w:val="24"/>
        </w:rPr>
        <w:t xml:space="preserve"> Автомобилестроение, </w:t>
      </w:r>
      <w:hyperlink w:history="0" r:id="rId24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32</w:t>
        </w:r>
      </w:hyperlink>
      <w:r>
        <w:rPr>
          <w:sz w:val="24"/>
        </w:rPr>
        <w:t xml:space="preserve"> Авиастроение, </w:t>
      </w:r>
      <w:hyperlink w:history="0" r:id="rId25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40</w:t>
        </w:r>
      </w:hyperlink>
      <w:r>
        <w:rPr>
          <w:sz w:val="24"/>
        </w:rPr>
        <w:t xml:space="preserve"> Сквозные виды профессиональной деятельности в промышленности &lt;6&gt;.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&lt;6&gt; </w:t>
      </w:r>
      <w:hyperlink w:history="0" r:id="rId26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Таблица</w:t>
        </w:r>
      </w:hyperlink>
      <w:r>
        <w:rPr>
          <w:sz w:val="24"/>
        </w:rP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1.15. При разработке образовательной программы образовательная организация устанавливает направленность, которая соответствует специальности в целом, с учетом соответствующей ПОП.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ТРЕБОВАНИЯ К СТРУКТУРЕ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2.1. Структура и объем образовательной программы </w:t>
      </w:r>
      <w:hyperlink w:history="0" w:anchor="P90" w:tooltip="Структура и объем образовательной программы">
        <w:r>
          <w:rPr>
            <w:sz w:val="24"/>
            <w:color w:val="0000ff"/>
          </w:rPr>
          <w:t xml:space="preserve">(таблица N 1)</w:t>
        </w:r>
      </w:hyperlink>
      <w:r>
        <w:rPr>
          <w:sz w:val="24"/>
        </w:rPr>
        <w:t xml:space="preserve"> включают: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дисциплины (модули);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государственную итоговую аттестацию.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1</w:t>
      </w:r>
    </w:p>
    <w:p>
      <w:pPr>
        <w:pStyle w:val="0"/>
        <w:jc w:val="both"/>
      </w:pPr>
      <w:r>
        <w:rPr>
          <w:sz w:val="24"/>
        </w:rPr>
      </w:r>
    </w:p>
    <w:bookmarkStart w:id="90" w:name="P90"/>
    <w:bookmarkEnd w:id="90"/>
    <w:p>
      <w:pPr>
        <w:pStyle w:val="0"/>
        <w:jc w:val="center"/>
      </w:pPr>
      <w:r>
        <w:rPr>
          <w:sz w:val="24"/>
        </w:rPr>
        <w:t xml:space="preserve">Структура и объем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100"/>
        <w:gridCol w:w="3971"/>
      </w:tblGrid>
      <w:tr>
        <w:tc>
          <w:tcPr>
            <w:tcW w:w="510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Структура образовательной программы</w:t>
            </w:r>
          </w:p>
        </w:tc>
        <w:tc>
          <w:tcPr>
            <w:tcW w:w="397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Объем образовательной программы, в академических часах</w:t>
            </w:r>
          </w:p>
        </w:tc>
      </w:tr>
      <w:tr>
        <w:tc>
          <w:tcPr>
            <w:tcW w:w="5100" w:type="dxa"/>
            <w:vAlign w:val="bottom"/>
          </w:tcPr>
          <w:p>
            <w:pPr>
              <w:pStyle w:val="0"/>
            </w:pPr>
            <w:r>
              <w:rPr>
                <w:sz w:val="24"/>
              </w:rPr>
              <w:t xml:space="preserve">Дисциплины (модули)</w:t>
            </w:r>
          </w:p>
        </w:tc>
        <w:tc>
          <w:tcPr>
            <w:tcW w:w="3971" w:type="dxa"/>
            <w:vAlign w:val="bottom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1764</w:t>
            </w:r>
          </w:p>
        </w:tc>
      </w:tr>
      <w:tr>
        <w:tc>
          <w:tcPr>
            <w:tcW w:w="5100" w:type="dxa"/>
            <w:vAlign w:val="bottom"/>
          </w:tcPr>
          <w:p>
            <w:pPr>
              <w:pStyle w:val="0"/>
            </w:pPr>
            <w:r>
              <w:rPr>
                <w:sz w:val="24"/>
              </w:rPr>
              <w:t xml:space="preserve">Практика</w:t>
            </w:r>
          </w:p>
        </w:tc>
        <w:tc>
          <w:tcPr>
            <w:tcW w:w="3971" w:type="dxa"/>
            <w:vAlign w:val="bottom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756</w:t>
            </w:r>
          </w:p>
        </w:tc>
      </w:tr>
      <w:tr>
        <w:tc>
          <w:tcPr>
            <w:tcW w:w="5100" w:type="dxa"/>
            <w:vAlign w:val="bottom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Государственная итоговая аттестация</w:t>
            </w:r>
          </w:p>
        </w:tc>
        <w:tc>
          <w:tcPr>
            <w:tcW w:w="3971" w:type="dxa"/>
            <w:vAlign w:val="bottom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216</w:t>
            </w:r>
          </w:p>
        </w:tc>
      </w:tr>
      <w:tr>
        <w:tc>
          <w:tcPr>
            <w:gridSpan w:val="2"/>
            <w:tcW w:w="9071" w:type="dxa"/>
            <w:vAlign w:val="bottom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Общий объем образовательной программы:</w:t>
            </w:r>
          </w:p>
        </w:tc>
      </w:tr>
      <w:tr>
        <w:tc>
          <w:tcPr>
            <w:tcW w:w="5100" w:type="dxa"/>
            <w:vAlign w:val="bottom"/>
          </w:tcPr>
          <w:p>
            <w:pPr>
              <w:pStyle w:val="0"/>
            </w:pPr>
            <w:r>
              <w:rPr>
                <w:sz w:val="24"/>
              </w:rPr>
              <w:t xml:space="preserve">на базе среднего общего образования</w:t>
            </w:r>
          </w:p>
        </w:tc>
        <w:tc>
          <w:tcPr>
            <w:tcW w:w="3971" w:type="dxa"/>
            <w:vAlign w:val="bottom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4464</w:t>
            </w:r>
          </w:p>
        </w:tc>
      </w:tr>
      <w:tr>
        <w:tc>
          <w:tcPr>
            <w:tcW w:w="5100" w:type="dxa"/>
            <w:vAlign w:val="bottom"/>
          </w:tcPr>
          <w:p>
            <w:pPr>
              <w:pStyle w:val="0"/>
            </w:pPr>
            <w:r>
              <w:rPr>
                <w:sz w:val="24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</w:t>
            </w:r>
            <w:hyperlink w:history="0" r:id="rId27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      <w:r>
                <w:rPr>
                  <w:sz w:val="24"/>
                  <w:color w:val="0000ff"/>
                </w:rPr>
                <w:t xml:space="preserve">стандарта</w:t>
              </w:r>
            </w:hyperlink>
            <w:r>
              <w:rPr>
                <w:sz w:val="24"/>
              </w:rPr>
              <w:t xml:space="preserve"> среднего общего образования</w:t>
            </w:r>
          </w:p>
        </w:tc>
        <w:tc>
          <w:tcPr>
            <w:tcW w:w="397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5940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2.2. Образовательная программа включает: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социально-гуманитарный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общепрофессиональный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профессиональный цикл.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history="0" w:anchor="P135" w:tooltip="III. ТРЕБОВАНИЯ К РЕЗУЛЬТАТАМ ОСВОЕНИЯ">
        <w:r>
          <w:rPr>
            <w:sz w:val="24"/>
            <w:color w:val="0000ff"/>
          </w:rPr>
          <w:t xml:space="preserve">главой III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Объем обязательной части без учета объема государственной итоговой аттестации должен составлять не более 60 процентов от общего объема времени, отведенного на освоение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Вариативная часть образовательной программы объемом не менее 40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bookmarkStart w:id="115" w:name="P115"/>
    <w:bookmarkEnd w:id="115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техническое обеспечение эксплуатации робототехнических комплексов;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пуско-наладка и техническое обслуживание робототехнологических комплексов;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организационное обеспечение внедрения средств автоматизации и механизации технологических операций;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подготовка и ведение технологического процесса (по видам) на робототехнологическом комплексе.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пункте 2.4</w:t>
        </w:r>
      </w:hyperlink>
      <w:r>
        <w:rPr>
          <w:sz w:val="24"/>
        </w:rPr>
        <w:t xml:space="preserve"> ФГОС СПО, в рамках вариативной части.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"Инженерная графика", "Техническая механика", "Электротехника и электроника", "Технологическое оборудование и приспособления", "Гидравлические и пневматические системы", "Охрана труда и бережливое производство", "Процессы формообразования и инструменты", "Автоматизация проектирования технологических процессов", "Математические методы моделирования производственных процессов", "Программирование систем с числовым программным управлением".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2.9.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5 зачетных единиц.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ПОП.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 при необходимости обеспечивающей коррекцию нарушений развития и социальную адаптацию указанных лиц.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2.12. Государственная итоговая аттестация проводится в форме демонстрационного экзамена и защиты дипломного проекта (работы).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history="0" w:anchor="P40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15.02.18 Техническая эксплуатация и обслуживание роботизированного производства (по отраслям) (далее соответственно - ФГОС СПО, образовательная программа, специальность) в соответствии с квалификацией...">
        <w:r>
          <w:rPr>
            <w:sz w:val="24"/>
            <w:color w:val="0000ff"/>
          </w:rPr>
          <w:t xml:space="preserve">пункте 1.1</w:t>
        </w:r>
      </w:hyperlink>
      <w:r>
        <w:rPr>
          <w:sz w:val="24"/>
        </w:rPr>
        <w:t xml:space="preserve"> ФГОС СПО.</w:t>
      </w:r>
    </w:p>
    <w:p>
      <w:pPr>
        <w:pStyle w:val="0"/>
        <w:jc w:val="both"/>
      </w:pPr>
      <w:r>
        <w:rPr>
          <w:sz w:val="24"/>
        </w:rPr>
      </w:r>
    </w:p>
    <w:bookmarkStart w:id="135" w:name="P135"/>
    <w:bookmarkEnd w:id="135"/>
    <w:p>
      <w:pPr>
        <w:pStyle w:val="2"/>
        <w:outlineLvl w:val="1"/>
        <w:jc w:val="center"/>
      </w:pPr>
      <w:r>
        <w:rPr>
          <w:sz w:val="24"/>
        </w:rPr>
        <w:t xml:space="preserve">III. ТРЕБОВАНИЯ К РЕЗУЛЬТАТАМ ОСВОЕНИЯ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В результате освоения образовательной программы у выпускника должны быть сформированы общие и профессиональные компетенции.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3.2.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сформированными в том числе на основе профессиональных стандартов (при наличии), указанных в ПОП: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2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925"/>
        <w:gridCol w:w="6139"/>
      </w:tblGrid>
      <w:tr>
        <w:tc>
          <w:tcPr>
            <w:tcW w:w="292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Виды деятельности</w:t>
            </w:r>
          </w:p>
        </w:tc>
        <w:tc>
          <w:tcPr>
            <w:tcW w:w="613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Профессиональные компетенции, соответствующие видам деятельности</w:t>
            </w:r>
          </w:p>
        </w:tc>
      </w:tr>
      <w:tr>
        <w:tc>
          <w:tcPr>
            <w:tcW w:w="2925" w:type="dxa"/>
          </w:tcPr>
          <w:p>
            <w:pPr>
              <w:pStyle w:val="0"/>
            </w:pPr>
            <w:r>
              <w:rPr>
                <w:sz w:val="24"/>
              </w:rPr>
              <w:t xml:space="preserve">техническое обеспечение эксплуатации робототехнических комплексов</w:t>
            </w:r>
          </w:p>
        </w:tc>
        <w:tc>
          <w:tcPr>
            <w:tcW w:w="6139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1.1. Планировать процесс выполнения своей работы на основе конструкторской и технологической документации робототехнологического комплекса.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1.2. Определять действительные значения контролируемых параметров предметов труда с использованием средств измерений.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1.3. Осуществлять диагностику неисправностей и отказов узлов и систем промышленных роботов и вспомогательных механизмов, и устройств робототехнологических комплексов.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1.4. Проектировать сборочные приспособления и технологическую оснастку для робототехнологического комплекса.</w:t>
            </w:r>
          </w:p>
        </w:tc>
      </w:tr>
      <w:tr>
        <w:tc>
          <w:tcPr>
            <w:tcW w:w="2925" w:type="dxa"/>
          </w:tcPr>
          <w:p>
            <w:pPr>
              <w:pStyle w:val="0"/>
            </w:pPr>
            <w:r>
              <w:rPr>
                <w:sz w:val="24"/>
              </w:rPr>
              <w:t xml:space="preserve">пуско-наладка и техническое обслуживание робототехнологических комплексов</w:t>
            </w:r>
          </w:p>
        </w:tc>
        <w:tc>
          <w:tcPr>
            <w:tcW w:w="6139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2.1. Выполнять комплекс пусконаладочных работ на робототехнологических комплексах в соответствии с требованиями конструкторской и технологической документации.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2.2. Разрабатывать управляющие программы работы робототехнологических комплексов в соответствии с техническим заданием.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2.3. Осуществлять работы по контролю, регламентированному и неплановому техническому обслуживанию промышленных роботов и робототехнологических комплексов.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2.4. Выполнять настройку и конфигурирование программируемых логических контроллеров робототехнологических комплексов в соответствии с принципиальными схемами подключения.</w:t>
            </w:r>
          </w:p>
        </w:tc>
      </w:tr>
      <w:tr>
        <w:tc>
          <w:tcPr>
            <w:tcW w:w="2925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организационное обеспечение внедрения средств автоматизации и механизации технологических операций</w:t>
            </w:r>
          </w:p>
        </w:tc>
        <w:tc>
          <w:tcPr>
            <w:tcW w:w="6139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3.1. Разрабатывать предложения по автоматизации и механизации на основании анализа средств технологического обеспечения.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3.2. Выполнять проектные и опытно-конструкторские работы по внедрению средств автоматизации и механизации.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3.3. Осуществлять планирование и организацию производственных работ по внедрению средств автоматизации и механизации.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3.4. Разрабатывать техническую документацию, инструкции, связанные с внедрением средств автоматизации и механизации.</w:t>
            </w:r>
          </w:p>
        </w:tc>
      </w:tr>
      <w:tr>
        <w:tc>
          <w:tcPr>
            <w:tcW w:w="2925" w:type="dxa"/>
          </w:tcPr>
          <w:p>
            <w:pPr>
              <w:pStyle w:val="0"/>
            </w:pPr>
            <w:r>
              <w:rPr>
                <w:sz w:val="24"/>
              </w:rPr>
              <w:t xml:space="preserve">подготовка и ведение технологического процесса (по видам) на робототехнологическом комплексе</w:t>
            </w:r>
          </w:p>
        </w:tc>
        <w:tc>
          <w:tcPr>
            <w:tcW w:w="6139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4.1. Составлять маршрут технологического процесса из разработанных технологических операций и переходов.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4.2. Контролировать ведение технологического процесса в соответствии с производственно-технологической документацией.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4.3. Определять степень пригодности технологического процесса, опираясь на оценку качества по совокупности различных свойств.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4.4. Разрабатывать сопутствующую техническую и методическую документацию, связанную с использованием робототехнологического комплекса.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3.6. Обучающиеся, осваивающие образовательную программу, осваивают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&lt;7&gt;.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&lt;7&gt; </w:t>
      </w:r>
      <w:hyperlink w:history="0" r:id="rId28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7 статьи 73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ТРЕБОВАНИЯ К УСЛОВИЯМ РЕАЛИЗАЦИИ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&lt;8&gt;.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&lt;8&gt; Федеральный </w:t>
      </w:r>
      <w:hyperlink w:history="0" r:id="rId29" w:tooltip="Федеральный закон от 30.03.1999 N 52-ФЗ (ред. от 26.12.2024) &quot;О санитарно-эпидемиологическом благополучии населения&quot;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от 30 марта 1999 г. N 52-ФЗ "О санитарно-эпидемиологическом благополучии населения"; санитарные правила </w:t>
      </w:r>
      <w:hyperlink w:history="0" r:id="rId30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4"/>
            <w:color w:val="0000ff"/>
          </w:rPr>
          <w:t xml:space="preserve">СП 2.4.3648-20</w:t>
        </w:r>
      </w:hyperlink>
      <w:r>
        <w:rPr>
          <w:sz w:val="24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w:history="0" r:id="rId31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4"/>
            <w:color w:val="0000ff"/>
          </w:rPr>
          <w:t xml:space="preserve">СанПиН 2.3/2.4.3590-20</w:t>
        </w:r>
      </w:hyperlink>
      <w:r>
        <w:rPr>
          <w:sz w:val="24"/>
        </w:rP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w:history="0" r:id="rId32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4"/>
            <w:color w:val="0000ff"/>
          </w:rPr>
          <w:t xml:space="preserve">СанПиН 1.2.3685-21</w:t>
        </w:r>
      </w:hyperlink>
      <w:r>
        <w:rPr>
          <w:sz w:val="24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4.3. Общесистемные требования к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4.4. Требования к материально-техническому и учебно-методическому обеспечению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допускается замена оборудования его виртуальными аналогами;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ж) в качестве основной литературы образовательная организация использует учебники, учебные пособия, предусмотренные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4.5. Требования к кадровым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history="0" w:anchor="P74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5 Ракетно-космическая промышленность, 28 Производство машин и оборудования, 30 Судостроение, 31 Автомобилестроение, 32 Авиастроение, 40 Сквозные виды профессиональной деятельности в промышленности &lt;6&gt;.">
        <w:r>
          <w:rPr>
            <w:sz w:val="24"/>
            <w:color w:val="0000ff"/>
          </w:rPr>
          <w:t xml:space="preserve">пункте 1.14</w:t>
        </w:r>
      </w:hyperlink>
      <w:r>
        <w:rPr>
          <w:sz w:val="24"/>
        </w:rPr>
        <w:t xml:space="preserve"> ФГОС СПО (имеющих стаж работы в данной профессиональной области не менее трех лет);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4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5 Ракетно-космическая промышленность, 28 Производство машин и оборудования, 30 Судостроение, 31 Автомобилестроение, 32 Авиастроение, 40 Сквозные виды профессиональной деятельности в промышленности &lt;6&gt;.">
        <w:r>
          <w:rPr>
            <w:sz w:val="24"/>
            <w:color w:val="0000ff"/>
          </w:rPr>
          <w:t xml:space="preserve">пункте 1.14</w:t>
        </w:r>
      </w:hyperlink>
      <w:r>
        <w:rPr>
          <w:sz w:val="24"/>
        </w:rP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4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5 Ракетно-космическая промышленность, 28 Производство машин и оборудования, 30 Судостроение, 31 Автомобилестроение, 32 Авиастроение, 40 Сквозные виды профессиональной деятельности в промышленности &lt;6&gt;.">
        <w:r>
          <w:rPr>
            <w:sz w:val="24"/>
            <w:color w:val="0000ff"/>
          </w:rPr>
          <w:t xml:space="preserve">пункте 1.14</w:t>
        </w:r>
      </w:hyperlink>
      <w:r>
        <w:rPr>
          <w:sz w:val="24"/>
        </w:rP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4.6. Требование к финансовым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&lt;9&gt; и Федеральным </w:t>
      </w:r>
      <w:hyperlink w:history="0" r:id="rId33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29 декабря 2012 г. N 273-ФЗ "Об образовании в Российской Федерации".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&lt;9&gt; Бюджетный </w:t>
      </w:r>
      <w:hyperlink w:history="0" r:id="rId34" w:tooltip="&quot;Бюджетный кодекс Российской Федерации&quot; от 31.07.1998 N 145-ФЗ (ред. от 26.12.2024) (с изм. и доп., вступ. в силу с 01.01.2025) {КонсультантПлюс}">
        <w:r>
          <w:rPr>
            <w:sz w:val="24"/>
            <w:color w:val="0000ff"/>
          </w:rPr>
          <w:t xml:space="preserve">кодекс</w:t>
        </w:r>
      </w:hyperlink>
      <w:r>
        <w:rPr>
          <w:sz w:val="24"/>
        </w:rPr>
        <w:t xml:space="preserve"> Российской Федерации.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4.7. Требования к применяемым механизмам оценки качества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27.11.2023 N 890</w:t>
            <w:br/>
            <w:t>"Об утверждении федерального государственного образовательного стандарт...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04.02.2025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LAW&amp;n=488439&amp;date=04.02.2025&amp;dst=100051&amp;field=134&amp;demo=2" TargetMode = "External"/>
	<Relationship Id="rId8" Type="http://schemas.openxmlformats.org/officeDocument/2006/relationships/hyperlink" Target="https://login.consultant.ru/link/?req=doc&amp;base=LAW&amp;n=481262&amp;date=04.02.2025&amp;dst=100072&amp;field=134&amp;demo=2" TargetMode = "External"/>
	<Relationship Id="rId9" Type="http://schemas.openxmlformats.org/officeDocument/2006/relationships/hyperlink" Target="https://login.consultant.ru/link/?req=doc&amp;base=LAW&amp;n=375025&amp;date=04.02.2025&amp;dst=100010&amp;field=134&amp;demo=2" TargetMode = "External"/>
	<Relationship Id="rId10" Type="http://schemas.openxmlformats.org/officeDocument/2006/relationships/hyperlink" Target="https://login.consultant.ru/link/?req=doc&amp;base=LAW&amp;n=377712&amp;date=04.02.2025&amp;dst=121&amp;field=134&amp;demo=2" TargetMode = "External"/>
	<Relationship Id="rId11" Type="http://schemas.openxmlformats.org/officeDocument/2006/relationships/hyperlink" Target="https://login.consultant.ru/link/?req=doc&amp;base=LAW&amp;n=429073&amp;date=04.02.2025&amp;demo=2" TargetMode = "External"/>
	<Relationship Id="rId12" Type="http://schemas.openxmlformats.org/officeDocument/2006/relationships/hyperlink" Target="https://login.consultant.ru/link/?req=doc&amp;base=LAW&amp;n=377712&amp;date=04.02.2025&amp;dst=130&amp;field=134&amp;demo=2" TargetMode = "External"/>
	<Relationship Id="rId13" Type="http://schemas.openxmlformats.org/officeDocument/2006/relationships/hyperlink" Target="https://login.consultant.ru/link/?req=doc&amp;base=LAW&amp;n=493177&amp;date=04.02.2025&amp;dst=464&amp;field=134&amp;demo=2" TargetMode = "External"/>
	<Relationship Id="rId14" Type="http://schemas.openxmlformats.org/officeDocument/2006/relationships/hyperlink" Target="https://login.consultant.ru/link/?req=doc&amp;base=LAW&amp;n=493177&amp;date=04.02.2025&amp;dst=100562&amp;field=134&amp;demo=2" TargetMode = "External"/>
	<Relationship Id="rId15" Type="http://schemas.openxmlformats.org/officeDocument/2006/relationships/hyperlink" Target="https://login.consultant.ru/link/?req=doc&amp;base=LAW&amp;n=470946&amp;date=04.02.2025&amp;dst=4&amp;field=134&amp;demo=2" TargetMode = "External"/>
	<Relationship Id="rId16" Type="http://schemas.openxmlformats.org/officeDocument/2006/relationships/hyperlink" Target="https://login.consultant.ru/link/?req=doc&amp;base=LAW&amp;n=470946&amp;date=04.02.2025&amp;dst=4&amp;field=134&amp;demo=2" TargetMode = "External"/>
	<Relationship Id="rId17" Type="http://schemas.openxmlformats.org/officeDocument/2006/relationships/hyperlink" Target="https://login.consultant.ru/link/?req=doc&amp;base=LAW&amp;n=494980&amp;date=04.02.2025&amp;dst=774&amp;field=134&amp;demo=2" TargetMode = "External"/>
	<Relationship Id="rId18" Type="http://schemas.openxmlformats.org/officeDocument/2006/relationships/hyperlink" Target="https://login.consultant.ru/link/?req=doc&amp;base=LAW&amp;n=494980&amp;date=04.02.2025&amp;dst=100249&amp;field=134&amp;demo=2" TargetMode = "External"/>
	<Relationship Id="rId19" Type="http://schemas.openxmlformats.org/officeDocument/2006/relationships/hyperlink" Target="https://login.consultant.ru/link/?req=doc&amp;base=LAW&amp;n=411930&amp;date=04.02.2025&amp;dst=100030&amp;field=134&amp;demo=2" TargetMode = "External"/>
	<Relationship Id="rId20" Type="http://schemas.openxmlformats.org/officeDocument/2006/relationships/hyperlink" Target="https://login.consultant.ru/link/?req=doc&amp;base=LAW&amp;n=214720&amp;date=04.02.2025&amp;dst=100098&amp;field=134&amp;demo=2" TargetMode = "External"/>
	<Relationship Id="rId21" Type="http://schemas.openxmlformats.org/officeDocument/2006/relationships/hyperlink" Target="https://login.consultant.ru/link/?req=doc&amp;base=LAW&amp;n=214720&amp;date=04.02.2025&amp;dst=100104&amp;field=134&amp;demo=2" TargetMode = "External"/>
	<Relationship Id="rId22" Type="http://schemas.openxmlformats.org/officeDocument/2006/relationships/hyperlink" Target="https://login.consultant.ru/link/?req=doc&amp;base=LAW&amp;n=214720&amp;date=04.02.2025&amp;dst=100108&amp;field=134&amp;demo=2" TargetMode = "External"/>
	<Relationship Id="rId23" Type="http://schemas.openxmlformats.org/officeDocument/2006/relationships/hyperlink" Target="https://login.consultant.ru/link/?req=doc&amp;base=LAW&amp;n=214720&amp;date=04.02.2025&amp;dst=100110&amp;field=134&amp;demo=2" TargetMode = "External"/>
	<Relationship Id="rId24" Type="http://schemas.openxmlformats.org/officeDocument/2006/relationships/hyperlink" Target="https://login.consultant.ru/link/?req=doc&amp;base=LAW&amp;n=214720&amp;date=04.02.2025&amp;dst=100112&amp;field=134&amp;demo=2" TargetMode = "External"/>
	<Relationship Id="rId25" Type="http://schemas.openxmlformats.org/officeDocument/2006/relationships/hyperlink" Target="https://login.consultant.ru/link/?req=doc&amp;base=LAW&amp;n=214720&amp;date=04.02.2025&amp;dst=100116&amp;field=134&amp;demo=2" TargetMode = "External"/>
	<Relationship Id="rId26" Type="http://schemas.openxmlformats.org/officeDocument/2006/relationships/hyperlink" Target="https://login.consultant.ru/link/?req=doc&amp;base=LAW&amp;n=214720&amp;date=04.02.2025&amp;dst=100047&amp;field=134&amp;demo=2" TargetMode = "External"/>
	<Relationship Id="rId27" Type="http://schemas.openxmlformats.org/officeDocument/2006/relationships/hyperlink" Target="https://login.consultant.ru/link/?req=doc&amp;base=LAW&amp;n=470946&amp;date=04.02.2025&amp;dst=4&amp;field=134&amp;demo=2" TargetMode = "External"/>
	<Relationship Id="rId28" Type="http://schemas.openxmlformats.org/officeDocument/2006/relationships/hyperlink" Target="https://login.consultant.ru/link/?req=doc&amp;base=LAW&amp;n=494980&amp;date=04.02.2025&amp;dst=415&amp;field=134&amp;demo=2" TargetMode = "External"/>
	<Relationship Id="rId29" Type="http://schemas.openxmlformats.org/officeDocument/2006/relationships/hyperlink" Target="https://login.consultant.ru/link/?req=doc&amp;base=LAW&amp;n=494620&amp;date=04.02.2025&amp;demo=2" TargetMode = "External"/>
	<Relationship Id="rId30" Type="http://schemas.openxmlformats.org/officeDocument/2006/relationships/hyperlink" Target="https://login.consultant.ru/link/?req=doc&amp;base=LAW&amp;n=371594&amp;date=04.02.2025&amp;dst=100047&amp;field=134&amp;demo=2" TargetMode = "External"/>
	<Relationship Id="rId31" Type="http://schemas.openxmlformats.org/officeDocument/2006/relationships/hyperlink" Target="https://login.consultant.ru/link/?req=doc&amp;base=LAW&amp;n=367564&amp;date=04.02.2025&amp;dst=100037&amp;field=134&amp;demo=2" TargetMode = "External"/>
	<Relationship Id="rId32" Type="http://schemas.openxmlformats.org/officeDocument/2006/relationships/hyperlink" Target="https://login.consultant.ru/link/?req=doc&amp;base=LAW&amp;n=441707&amp;date=04.02.2025&amp;dst=100137&amp;field=134&amp;demo=2" TargetMode = "External"/>
	<Relationship Id="rId33" Type="http://schemas.openxmlformats.org/officeDocument/2006/relationships/hyperlink" Target="https://login.consultant.ru/link/?req=doc&amp;base=LAW&amp;n=494980&amp;date=04.02.2025&amp;demo=2" TargetMode = "External"/>
	<Relationship Id="rId34" Type="http://schemas.openxmlformats.org/officeDocument/2006/relationships/hyperlink" Target="https://login.consultant.ru/link/?req=doc&amp;base=LAW&amp;n=466790&amp;date=04.02.2025&amp;demo=2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4024.00.50</Application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27.11.2023 N 890
"Об утверждении федерального государственного образовательного стандарта среднего профессионального образования по специальности 15.02.18 Техническая эксплуатация и обслуживание роботизированного производства (по отраслям)"
(Зарегистрировано в Минюсте России 10.01.2024 N 76793)</dc:title>
  <dcterms:created xsi:type="dcterms:W3CDTF">2025-02-04T20:19:46Z</dcterms:created>
</cp:coreProperties>
</file>