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15.11.2023 N 863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профессии 15.01.05 Сварщик (ручной и частично механизированной сварки (наплавки)"</w:t>
              <w:br/>
              <w:t xml:space="preserve">(Зарегистрировано в Минюсте России 15.12.2023 N 76433)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04.02.2025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0"/>
        <w:outlineLvl w:val="0"/>
      </w:pPr>
      <w:r>
        <w:rPr>
          <w:sz w:val="24"/>
        </w:rPr>
        <w:t xml:space="preserve">Зарегистрировано в Минюсте России 15 декабря 2023 г. N 76433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МИНИСТЕРСТВО ПРОСВЕЩЕНИЯ РОССИЙСКОЙ ФЕДЕРАЦИИ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ПРИКАЗ</w:t>
      </w:r>
    </w:p>
    <w:p>
      <w:pPr>
        <w:pStyle w:val="2"/>
        <w:jc w:val="center"/>
      </w:pPr>
      <w:r>
        <w:rPr>
          <w:sz w:val="24"/>
        </w:rPr>
        <w:t xml:space="preserve">от 15 ноября 2023 г. N 863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</w:t>
      </w:r>
    </w:p>
    <w:p>
      <w:pPr>
        <w:pStyle w:val="2"/>
        <w:jc w:val="center"/>
      </w:pPr>
      <w:r>
        <w:rPr>
          <w:sz w:val="24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ПРОФЕССИИ 15.01.05</w:t>
      </w:r>
    </w:p>
    <w:p>
      <w:pPr>
        <w:pStyle w:val="2"/>
        <w:jc w:val="center"/>
      </w:pPr>
      <w:r>
        <w:rPr>
          <w:sz w:val="24"/>
        </w:rPr>
        <w:t xml:space="preserve">СВАРЩИК (РУЧНОЙ И ЧАСТИЧНО МЕХАНИЗИРОВАННОЙ</w:t>
      </w:r>
    </w:p>
    <w:p>
      <w:pPr>
        <w:pStyle w:val="2"/>
        <w:jc w:val="center"/>
      </w:pPr>
      <w:r>
        <w:rPr>
          <w:sz w:val="24"/>
        </w:rPr>
        <w:t xml:space="preserve">СВАРКИ (НАПЛАВКИ)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7" w:tooltip="Постановление Правительства РФ от 28.07.2018 N 884 (ред. от 17.10.2024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4"/>
            <w:color w:val="0000ff"/>
          </w:rPr>
          <w:t xml:space="preserve">подпунктом 4.2.30 пункта 4</w:t>
        </w:r>
      </w:hyperlink>
      <w:r>
        <w:rPr>
          <w:sz w:val="24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w:history="0" r:id="rId8" w:tooltip="Постановление Правительства РФ от 12.04.2019 N 434 (ред. от 20.07.2024) &quot;Об утверждении Правил разработки,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Российской Федерации&quot; {КонсультантПлюс}">
        <w:r>
          <w:rPr>
            <w:sz w:val="24"/>
            <w:color w:val="0000ff"/>
          </w:rPr>
          <w:t xml:space="preserve">пунктом 27</w:t>
        </w:r>
      </w:hyperlink>
      <w:r>
        <w:rPr>
          <w:sz w:val="24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 Утвердить прилагаемый федеральный государственный образовательный </w:t>
      </w:r>
      <w:hyperlink w:history="0" w:anchor="P33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профессионального образования по профессии </w:t>
      </w:r>
      <w:hyperlink w:history="0" r:id="rId9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15.01.05</w:t>
        </w:r>
      </w:hyperlink>
      <w:r>
        <w:rPr>
          <w:sz w:val="24"/>
        </w:rPr>
        <w:t xml:space="preserve"> Сварщик (ручной и частично механизированной сварки (наплавки) (далее - стандарт).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 Установить, что: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вправе осуществлять в соответствии со </w:t>
      </w:r>
      <w:hyperlink w:history="0" w:anchor="P33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обучение лиц, зачисленных до вступления в силу настоящего приказа, с их согласия;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прием на обучение в соответствии с федеральным государственным образовательным </w:t>
      </w:r>
      <w:hyperlink w:history="0" r:id="rId10" w:tooltip="Приказ Минобрнауки России от 29.01.2016 N 50 (ред. от 01.09.2022) &quot;Об утверждении федерального государственного образовательного стандарта среднего профессионального образования по профессии 15.01.05 Сварщик (ручной и частично механизированной сварки (наплавки)&quot; (Зарегистрировано в Минюсте России 24.02.2016 N 41197) {КонсультантПлюс}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среднего профессионального образования по профессии </w:t>
      </w:r>
      <w:hyperlink w:history="0" r:id="rId11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15.01.05</w:t>
        </w:r>
      </w:hyperlink>
      <w:r>
        <w:rPr>
          <w:sz w:val="24"/>
        </w:rPr>
        <w:t xml:space="preserve"> Сварщик (ручной и частично механизированной сварки (наплавки), утвержденным приказом Министерства образования и науки Российской Федерации от 29 января 2016 г. N 50 (зарегистрирован Министерством юстиции Российской Федерации 24 февраля 2016 г., регистрационный N 41197), с изменениями, внесенными приказом Министерства образования и науки Российской Федерации от 14 сентября 2016 г. N 1193 (зарегистрирован Министерством юстиции Российской Федерации 5 октября 2016 г., регистрационный N 43932) и приказами Министерства просвещения Российской Федерации от 17 декабря 2020 г. N 747 (зарегистрирован Министерством юстиции Российской Федерации 22 января 2021 г., регистрационный N 62178) и от 1 сентября 2022 г. N 796 (зарегистрирован Министерством юстиции Российской Федерации 11 октября 2022 г., регистрационный N 70461), прекращается с 31 декабря 2023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Министр</w:t>
      </w:r>
    </w:p>
    <w:p>
      <w:pPr>
        <w:pStyle w:val="0"/>
        <w:jc w:val="right"/>
      </w:pPr>
      <w:r>
        <w:rPr>
          <w:sz w:val="24"/>
        </w:rPr>
        <w:t xml:space="preserve">С.С.КРАВЦОВ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4"/>
        </w:rPr>
        <w:t xml:space="preserve">Российской Федерации</w:t>
      </w:r>
    </w:p>
    <w:p>
      <w:pPr>
        <w:pStyle w:val="0"/>
        <w:jc w:val="right"/>
      </w:pPr>
      <w:r>
        <w:rPr>
          <w:sz w:val="24"/>
        </w:rPr>
        <w:t xml:space="preserve">от 15 ноября 2023 г. N 863</w:t>
      </w:r>
    </w:p>
    <w:p>
      <w:pPr>
        <w:pStyle w:val="0"/>
        <w:jc w:val="both"/>
      </w:pPr>
      <w:r>
        <w:rPr>
          <w:sz w:val="24"/>
        </w:rPr>
      </w:r>
    </w:p>
    <w:bookmarkStart w:id="33" w:name="P33"/>
    <w:bookmarkEnd w:id="33"/>
    <w:p>
      <w:pPr>
        <w:pStyle w:val="2"/>
        <w:jc w:val="center"/>
      </w:pPr>
      <w:r>
        <w:rPr>
          <w:sz w:val="24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ПРОФЕССИИ 15.01.05</w:t>
      </w:r>
    </w:p>
    <w:p>
      <w:pPr>
        <w:pStyle w:val="2"/>
        <w:jc w:val="center"/>
      </w:pPr>
      <w:r>
        <w:rPr>
          <w:sz w:val="24"/>
        </w:rPr>
        <w:t xml:space="preserve">СВАРЩИК (РУЧНОЙ И ЧАСТИЧНО МЕХАНИЗИРОВАННОЙ</w:t>
      </w:r>
    </w:p>
    <w:p>
      <w:pPr>
        <w:pStyle w:val="2"/>
        <w:jc w:val="center"/>
      </w:pPr>
      <w:r>
        <w:rPr>
          <w:sz w:val="24"/>
        </w:rPr>
        <w:t xml:space="preserve">СВАРКИ (НАПЛАВКИ)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I. ОБЩИЕ ПОЛОЖЕНИЯ</w:t>
      </w:r>
    </w:p>
    <w:p>
      <w:pPr>
        <w:pStyle w:val="0"/>
        <w:jc w:val="both"/>
      </w:pPr>
      <w:r>
        <w:rPr>
          <w:sz w:val="24"/>
        </w:rPr>
      </w:r>
    </w:p>
    <w:bookmarkStart w:id="40" w:name="P40"/>
    <w:bookmarkEnd w:id="40"/>
    <w:p>
      <w:pPr>
        <w:pStyle w:val="0"/>
        <w:ind w:firstLine="540"/>
        <w:jc w:val="both"/>
      </w:pPr>
      <w:r>
        <w:rPr>
          <w:sz w:val="24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</w:t>
      </w:r>
      <w:hyperlink w:history="0" r:id="rId12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15.01.05</w:t>
        </w:r>
      </w:hyperlink>
      <w:r>
        <w:rPr>
          <w:sz w:val="24"/>
        </w:rPr>
        <w:t xml:space="preserve"> Сварщик (ручной и частично механизированной сварки (наплавки) (далее соответственно - ФГОС СПО, образовательная программа, профессия) в соответствии с квалификацией квалифицированного рабочего, служащего "сварщик" &lt;1&gt;.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&lt;1&gt; </w:t>
      </w:r>
      <w:hyperlink w:history="0" r:id="rId13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Перечень</w:t>
        </w:r>
      </w:hyperlink>
      <w:r>
        <w:rPr>
          <w:sz w:val="24"/>
        </w:rPr>
        <w:t xml:space="preserve"> профессий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приказами Министерства просвещения Российской Федерации от 12 мая 2023 г. N 359 (зарегистрирован Министерством юстиции Российской Федерации 9 июня 2023 г., регистрационный N 73797) и от 25 сентября 2023 г. N 717 (зарегистрирован Министерством юстиции Российской Федерации 26 октября 2023 г., регистрационный N 75754).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1.2. Получение образования по профессии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w:history="0" r:id="rId14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стандарта</w:t>
        </w:r>
      </w:hyperlink>
      <w:r>
        <w:rPr>
          <w:sz w:val="24"/>
        </w:rPr>
        <w:t xml:space="preserve"> среднего общего образования &lt;2&gt; и ФГОС СПО с учетом получаемой профессии.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&lt;2&gt; Федеральный государственный образовательный </w:t>
      </w:r>
      <w:hyperlink w:history="0" r:id="rId15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1.4. Обучение по образовательной программе в образовательной организации осуществляется в очной и очно-заочной формах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работы. &lt;3&gt;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&lt;3&gt; </w:t>
      </w:r>
      <w:hyperlink w:history="0" r:id="rId16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2 статьи 12.1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&lt;4&gt; </w:t>
      </w:r>
      <w:hyperlink w:history="0" r:id="rId17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Статья 14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bookmarkStart w:id="62" w:name="P62"/>
    <w:bookmarkEnd w:id="62"/>
    <w:p>
      <w:pPr>
        <w:pStyle w:val="0"/>
        <w:ind w:firstLine="540"/>
        <w:jc w:val="both"/>
      </w:pPr>
      <w:r>
        <w:rPr>
          <w:sz w:val="24"/>
        </w:rPr>
        <w:t xml:space="preserve"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среднего общего образования - 10 месяцев;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основного общего образования - 1 год 10 месяцев.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Срок получения образования по образовательной программе в очно-заочной форме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 не более чем на 1 год.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1.10. 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образования, установленного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1.11. Конкретный срок получения образования в очно-заочной форме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history="0" w:anchor="P62" w:tooltip="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">
        <w:r>
          <w:rPr>
            <w:sz w:val="24"/>
            <w:color w:val="0000ff"/>
          </w:rPr>
          <w:t xml:space="preserve">пунктом 1.9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bookmarkStart w:id="70" w:name="P70"/>
    <w:bookmarkEnd w:id="70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</w:t>
      </w:r>
      <w:hyperlink w:history="0" r:id="rId18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40</w:t>
        </w:r>
      </w:hyperlink>
      <w:r>
        <w:rPr>
          <w:sz w:val="24"/>
        </w:rPr>
        <w:t xml:space="preserve"> Сквозные виды профессиональной деятельности в промышленности &lt;5&gt;.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&lt;5&gt; </w:t>
      </w:r>
      <w:hyperlink w:history="0" r:id="rId19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Таблица</w:t>
        </w:r>
      </w:hyperlink>
      <w:r>
        <w:rPr>
          <w:sz w:val="24"/>
        </w:rP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1.14. При разработке образовательной программы образовательная организация устанавливает направленность, которая конкретизирует содержание программы путем ориентации на виды деятельности, с учетом соответствующей ПОП.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II. ТРЕБОВАНИЯ К СТРУКТУРЕ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2.1. Структура и объем образовательной программы </w:t>
      </w:r>
      <w:hyperlink w:history="0" w:anchor="P86" w:tooltip="Структура и объем образовательной программы">
        <w:r>
          <w:rPr>
            <w:sz w:val="24"/>
            <w:color w:val="0000ff"/>
          </w:rPr>
          <w:t xml:space="preserve">(таблица N 1)</w:t>
        </w:r>
      </w:hyperlink>
      <w:r>
        <w:rPr>
          <w:sz w:val="24"/>
        </w:rPr>
        <w:t xml:space="preserve"> включают: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дисциплины (модули);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государственную итоговую аттестацию.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1</w:t>
      </w:r>
    </w:p>
    <w:p>
      <w:pPr>
        <w:pStyle w:val="0"/>
        <w:jc w:val="both"/>
      </w:pPr>
      <w:r>
        <w:rPr>
          <w:sz w:val="24"/>
        </w:rPr>
      </w:r>
    </w:p>
    <w:bookmarkStart w:id="86" w:name="P86"/>
    <w:bookmarkEnd w:id="86"/>
    <w:p>
      <w:pPr>
        <w:pStyle w:val="0"/>
        <w:jc w:val="center"/>
      </w:pPr>
      <w:r>
        <w:rPr>
          <w:sz w:val="24"/>
        </w:rPr>
        <w:t xml:space="preserve">Структура и объем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592"/>
        <w:gridCol w:w="4479"/>
      </w:tblGrid>
      <w:tr>
        <w:tc>
          <w:tcPr>
            <w:tcW w:w="459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Структура образовательной программы</w:t>
            </w:r>
          </w:p>
        </w:tc>
        <w:tc>
          <w:tcPr>
            <w:tcW w:w="447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Объем образовательной программы,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в академических часах</w:t>
            </w:r>
          </w:p>
        </w:tc>
      </w:tr>
      <w:tr>
        <w:tc>
          <w:tcPr>
            <w:tcW w:w="4592" w:type="dxa"/>
          </w:tcPr>
          <w:p>
            <w:pPr>
              <w:pStyle w:val="0"/>
            </w:pPr>
            <w:r>
              <w:rPr>
                <w:sz w:val="24"/>
              </w:rPr>
              <w:t xml:space="preserve">Дисциплины (модули)</w:t>
            </w:r>
          </w:p>
        </w:tc>
        <w:tc>
          <w:tcPr>
            <w:tcW w:w="447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612</w:t>
            </w:r>
          </w:p>
        </w:tc>
      </w:tr>
      <w:tr>
        <w:tc>
          <w:tcPr>
            <w:tcW w:w="4592" w:type="dxa"/>
          </w:tcPr>
          <w:p>
            <w:pPr>
              <w:pStyle w:val="0"/>
            </w:pPr>
            <w:r>
              <w:rPr>
                <w:sz w:val="24"/>
              </w:rPr>
              <w:t xml:space="preserve">Практика</w:t>
            </w:r>
          </w:p>
        </w:tc>
        <w:tc>
          <w:tcPr>
            <w:tcW w:w="447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540</w:t>
            </w:r>
          </w:p>
        </w:tc>
      </w:tr>
      <w:tr>
        <w:tc>
          <w:tcPr>
            <w:tcW w:w="4592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Государственная итоговая аттестация</w:t>
            </w:r>
          </w:p>
        </w:tc>
        <w:tc>
          <w:tcPr>
            <w:tcW w:w="447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36</w:t>
            </w:r>
          </w:p>
        </w:tc>
      </w:tr>
      <w:tr>
        <w:tc>
          <w:tcPr>
            <w:gridSpan w:val="2"/>
            <w:tcW w:w="907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Общий объем образовательной программы:</w:t>
            </w:r>
          </w:p>
        </w:tc>
      </w:tr>
      <w:tr>
        <w:tc>
          <w:tcPr>
            <w:tcW w:w="4592" w:type="dxa"/>
          </w:tcPr>
          <w:p>
            <w:pPr>
              <w:pStyle w:val="0"/>
            </w:pPr>
            <w:r>
              <w:rPr>
                <w:sz w:val="24"/>
              </w:rPr>
              <w:t xml:space="preserve">на базе среднего общего образования</w:t>
            </w:r>
          </w:p>
        </w:tc>
        <w:tc>
          <w:tcPr>
            <w:tcW w:w="447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1476</w:t>
            </w:r>
          </w:p>
        </w:tc>
      </w:tr>
      <w:tr>
        <w:tc>
          <w:tcPr>
            <w:tcW w:w="4592" w:type="dxa"/>
          </w:tcPr>
          <w:p>
            <w:pPr>
              <w:pStyle w:val="0"/>
            </w:pPr>
            <w:r>
              <w:rPr>
                <w:sz w:val="24"/>
              </w:rP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</w:t>
            </w:r>
            <w:hyperlink w:history="0" r:id="rId20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      <w:r>
                <w:rPr>
                  <w:sz w:val="24"/>
                  <w:color w:val="0000ff"/>
                </w:rPr>
                <w:t xml:space="preserve">стандарта</w:t>
              </w:r>
            </w:hyperlink>
            <w:r>
              <w:rPr>
                <w:sz w:val="24"/>
              </w:rPr>
              <w:t xml:space="preserve"> среднего общего образования</w:t>
            </w:r>
          </w:p>
        </w:tc>
        <w:tc>
          <w:tcPr>
            <w:tcW w:w="447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2952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2.2. Образовательная программа включает: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социально-гуманитарный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общепрофессиональный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профессиональный цикл.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history="0" w:anchor="P134" w:tooltip="III. ТРЕБОВАНИЯ К РЕЗУЛЬТАТАМ ОСВОЕНИЯ">
        <w:r>
          <w:rPr>
            <w:sz w:val="24"/>
            <w:color w:val="0000ff"/>
          </w:rPr>
          <w:t xml:space="preserve">главой III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Объем обязательной части без учета объема государственной итоговой аттестации должен составлять не более 80 процентов от общего объема времени, отведенного на освоение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Вариативная часть образовательной программы объемом не менее 20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bookmarkStart w:id="112" w:name="P112"/>
    <w:bookmarkEnd w:id="112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2.4. Образовательная программа разрабатывается образовательной организацией в соответствии с ФГОС СПО и с учетом ПОП и предполагает освоение не менее трех видов деятельности, самостоятельно выбранных образовательной организацией из следующих видов деятельности: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выполнение подготовительных, сборочных операций перед сваркой и контроль сварных соединений;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выполнение ручной дуговой сварки (наплавка, резка) плавящимся покрытым электродом (по выбору);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выполнение частично механизированной сварки (наплавки) плавлением (по выбору);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выполнение ручной дуговой сварки (наплавки) неплавящимся электродом в защитном газе (по выбору);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выполнение сварки ручным способом с внешним источником нагрева и экструзионной сварки различных деталей из полимерных материалов (по выбору);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выполнение операций термитной сварки (по выбору).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history="0" w:anchor="P112" w:tooltip="2.4. Образовательная программа разрабатывается образовательной организацией в соответствии с ФГОС СПО и с учетом ПОП и предполагает освоение не менее трех видов деятельности, самостоятельно выбранных образовательной организацией из следующих видов деятельности:">
        <w:r>
          <w:rPr>
            <w:sz w:val="24"/>
            <w:color w:val="0000ff"/>
          </w:rPr>
          <w:t xml:space="preserve">пункте 2.4</w:t>
        </w:r>
      </w:hyperlink>
      <w:r>
        <w:rPr>
          <w:sz w:val="24"/>
        </w:rPr>
        <w:t xml:space="preserve"> ФГОС СПО, в рамках вариативной части.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 и не менее 25 процентов - в очно-заочной форме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грамотности", "Основы бережливого производства".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Общий объем дисциплины "Безопасность жизнедеятельности" в очной форме обучения не может быть менее 36 академических часов, из них на освоение основ военной службы (для юношей) - не менее 24 академических часов, для подгрупп девушек это время может быть использовано на освоение основ медицинских знаний.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"Основы инженерной графики", "Основы электротехники", "Материаловедение", "Допуски и технические измерения".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2.9. Профессиональный цикл образовательной программы включает профессиональные модули, которые формируются в соответствии с выбранными видами деятельности, предусмотренными </w:t>
      </w:r>
      <w:hyperlink w:history="0" w:anchor="P112" w:tooltip="2.4. Образовательная программа разрабатывается образовательной организацией в соответствии с ФГОС СПО и с учетом ПОП и предполагает освоение не менее трех видов деятельности, самостоятельно выбранных образовательной организацией из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5 зачетных единиц.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ПОП.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 при необходимости обеспечивающей коррекцию нарушений развития и социальную адаптацию указанных лиц.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2.12. Государственная итоговая аттестация проводится в форме демонстрационного экзамена.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2.13. Государственная итоговая аттестация завершается присвоением квалификации квалифицированного рабочего, служащего, указанной в </w:t>
      </w:r>
      <w:hyperlink w:history="0" w:anchor="P40" w:tooltip="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15.01.05 Сварщик (ручной и частично механизированной сварки (наплавки) (далее соответственно - ФГОС СПО, образовательная программа, профессия) в соответствии с квалификацией квалифицированного раб...">
        <w:r>
          <w:rPr>
            <w:sz w:val="24"/>
            <w:color w:val="0000ff"/>
          </w:rPr>
          <w:t xml:space="preserve">пункте 1.1</w:t>
        </w:r>
      </w:hyperlink>
      <w:r>
        <w:rPr>
          <w:sz w:val="24"/>
        </w:rPr>
        <w:t xml:space="preserve"> ФГОС СПО.</w:t>
      </w:r>
    </w:p>
    <w:p>
      <w:pPr>
        <w:pStyle w:val="0"/>
        <w:jc w:val="both"/>
      </w:pPr>
      <w:r>
        <w:rPr>
          <w:sz w:val="24"/>
        </w:rPr>
      </w:r>
    </w:p>
    <w:bookmarkStart w:id="134" w:name="P134"/>
    <w:bookmarkEnd w:id="134"/>
    <w:p>
      <w:pPr>
        <w:pStyle w:val="2"/>
        <w:outlineLvl w:val="1"/>
        <w:jc w:val="center"/>
      </w:pPr>
      <w:r>
        <w:rPr>
          <w:sz w:val="24"/>
        </w:rPr>
        <w:t xml:space="preserve">III. ТРЕБОВАНИЯ К РЕЗУЛЬТАТАМ ОСВОЕНИЯ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3.1. В результате освоения образовательной программы у выпускника должны быть сформированы общие и профессиональные компетенции.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3.2. Выпускник, освоивший образовательную программу, должен обладать следующими общими компетенциями (далее - ОК):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01. Выбирать способы решения задач профессиональной деятельности применительно к различным контекстам;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04. Эффективно взаимодействовать и работать в коллективе и команде;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выбранным видам деятельности (таблица N 2), предусмотренным </w:t>
      </w:r>
      <w:hyperlink w:history="0" w:anchor="P112" w:tooltip="2.4. Образовательная программа разрабатывается образовательной организацией в соответствии с ФГОС СПО и с учетом ПОП и предполагает освоение не менее трех видов деятельности, самостоятельно выбранных образовательной организацией из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сформированными в том числе на основе профессиональных стандартов (при наличии), указанных в ПОП: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2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835"/>
        <w:gridCol w:w="6236"/>
      </w:tblGrid>
      <w:tr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Виды деятельности</w:t>
            </w:r>
          </w:p>
        </w:tc>
        <w:tc>
          <w:tcPr>
            <w:tcW w:w="623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Профессиональные компетенции, соответствующие видам деятельности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623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4"/>
              </w:rPr>
              <w:t xml:space="preserve">выполнение подготовительных сборочных операций перед сваркой и контроль сварных соединений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1.1. Проводить сборочные операции перед сваркой с использованием конструкторской, производственно-технологической и нормативной документации.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1.2. Выбирать пространственное положение сварного шва для сварки элементов конструкции (изделий, узлов, деталей).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1.3. Применять сборочные приспособления для сборки элементов конструкции (изделий, узлов, деталей) под сварку.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1.4. Проводить подготовку элементов конструкции (изделий, узлов, деталей) под сварку, зачистку сварных швов и удаление поверхностных дефектов после сварки с использованием ручного и механизированного инструмента.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1.5. Проводить контроль собранных элементов конструкции (изделий, узлов, деталей) на соответствие геометрических размеров требованиям конструкторской и производственно-технологической документации по сварке.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4"/>
              </w:rPr>
              <w:t xml:space="preserve">выполнение ручной дуговой сварки (наплавка, резка) плавящимся покрытым электродом (по выбору)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X.1. Проверять работоспособность и исправность сварочного оборудования для ручной дуговой сварки (наплавка, резка) плавящимся покрытым электродом.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X.2. Настраивать сварочное оборудование для ручной дуговой сварки (наплавки, резки) плавящимся покрытым электродом.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X.3. Выполнять предварительный, сопутствующий (межслойный) подогрев металла в соответствии с требованиями производственно-технологической документации по сварке.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X.4. Выполнять ручную дуговую сварку (наплавку, резку) плавящимся покрытым электродом простых деталей неответственных конструкций в нижнем, вертикальном и горизонтальном пространственном положении сварного шва.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X.5. Выполнять дуговую резку металла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выполнение частично механизированной сварки (наплавки) плавлением (по выбору)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X.1. Настраивать сварочное оборудование для частично механизированной сварки (наплавки) плавлением.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X.2. Выполнять предварительный, сопутствующий (межслойный) подогрев металла в соответствии с требованиями производственно-технологической документации по сварке.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X.3. Выполнять частично механизированную сварку (наплавку) плавлением простых деталей неответственных конструкций в нижнем, вертикальном и горизонтальном пространственном положении сварного шва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4"/>
              </w:rPr>
              <w:t xml:space="preserve">выполнение ручной дуговой сварки (наплавки) неплавящимся электродом в защитном газе (по выбору)</w:t>
            </w:r>
          </w:p>
        </w:tc>
        <w:tc>
          <w:tcPr>
            <w:tcW w:w="6236" w:type="dxa"/>
            <w:vAlign w:val="center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X.1. Проверять работоспособность и исправность оборудования для ручной дуговой сварки (наплавки) неплавящимся электродом в защитном газе.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X.2. Настраивать сварочное оборудование для ручной дуговой сварки (наплавки) неплавящимся электродом в защитном газе.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X.3. Выполнять предварительный, сопутствующий (межслойный) подогрев металла в соответствии с требованиями производственно-технологической документации по сварке.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X.4. Выполнять ручную дуговую сварку (наплавку) неплавящимся электродом в защитном газе простых деталей неответственных конструкций в нижнем, вертикальном и горизонтальном пространственном положении сварного шва.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4"/>
              </w:rPr>
              <w:t xml:space="preserve">выполнение сварки ручным способом с внешним источником нагрева и экструзионной сварки различных деталей из полимерных материалов (по выбору)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X.1. Подготавливать и проверять применяемые для сварки ручным способом с внешним источником нагрева (сварки нагретым газом), сварки нагретым инструментом, экструзионной сварки материалы (газ- теплоноситель, присадочные прутки, пленки, листы, полимерные трубы и стыковочные элементы (муфты, тройники и так далее).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X.2. Проверять работоспособность и исправность оборудования для сварки ручным способом с внешним источником нагрева (сварки нагретым газом), сварки нагретым инструментом, экструзионной сварки.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X.3. Настраивать сварочное оборудование для сварки ручным способом с внешним источником нагрева (сварки нагретым газом), сварки нагретым инструментом, экструзионной сварки.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X.4. Устанавливать свариваемые детали в технологические приспособления с последующим контролем.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X.5. Выполнять сварку ручным способом с внешним источником нагрева (сварку нагретым газом), сварку нагретым инструментом, экструзионную сварку стыковых, нахлесточных, угловых и тавровых сварных соединений простых деталей неответственных конструкций.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4"/>
              </w:rPr>
              <w:t xml:space="preserve">выполнение операций термитной сварки (по выбору)</w:t>
            </w:r>
          </w:p>
        </w:tc>
        <w:tc>
          <w:tcPr>
            <w:tcW w:w="6236" w:type="dxa"/>
            <w:vAlign w:val="center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X.1. Изготавливать паяльно-сварочные стержни и термитную смесь, соответствующие типу свариваемых деталей.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X.2. Выполнять сборку деталей для термитной сварки с использованием различных универсальных, специальных приспособлений и оснастки.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X.3. Выполнять термитную сварку с использованием огнеупорных и формовочных материалов.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X.4. Выполнять термитную сварку простых деталей неответственных конструкций.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X.5. Демонтировать универсальные, специальные приспособления и оснастку после термитной сварки.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установленными в соответствии с </w:t>
      </w:r>
      <w:hyperlink w:history="0" w:anchor="P112" w:tooltip="2.4. Образовательная программа разрабатывается образовательной организацией в соответствии с ФГОС СПО и с учетом ПОП и предполагает освоение не менее трех видов деятельности, самостоятельно выбранных образовательной организацией из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3.6. Обучающиеся, осваивающие образовательную программу, могут освоить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&lt;6&gt;.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&lt;6&gt; </w:t>
      </w:r>
      <w:hyperlink w:history="0" r:id="rId21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7 статьи 73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IV. ТРЕБОВАНИЯ К УСЛОВИЯМ РЕАЛИЗАЦИИ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&lt;7&gt;.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&lt;7&gt; Федеральный </w:t>
      </w:r>
      <w:hyperlink w:history="0" r:id="rId22" w:tooltip="Федеральный закон от 30.03.1999 N 52-ФЗ (ред. от 26.12.2024) &quot;О санитарно-эпидемиологическом благополучии населения&quot; {КонсультантПлюс}">
        <w:r>
          <w:rPr>
            <w:sz w:val="24"/>
            <w:color w:val="0000ff"/>
          </w:rPr>
          <w:t xml:space="preserve">закон</w:t>
        </w:r>
      </w:hyperlink>
      <w:r>
        <w:rPr>
          <w:sz w:val="24"/>
        </w:rPr>
        <w:t xml:space="preserve"> от 30 марта 1999 г. N 52-ФЗ "О санитарно-эпидемиологическом благополучии населения"; санитарные правила </w:t>
      </w:r>
      <w:hyperlink w:history="0" r:id="rId23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4"/>
            <w:color w:val="0000ff"/>
          </w:rPr>
          <w:t xml:space="preserve">СП 2.4.3648-20</w:t>
        </w:r>
      </w:hyperlink>
      <w:r>
        <w:rPr>
          <w:sz w:val="24"/>
        </w:rP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санитарно-эпидемиологические правила и нормы </w:t>
      </w:r>
      <w:hyperlink w:history="0" r:id="rId24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4"/>
            <w:color w:val="0000ff"/>
          </w:rPr>
          <w:t xml:space="preserve">СанПиН 2.3/2.4.3590-20</w:t>
        </w:r>
      </w:hyperlink>
      <w:r>
        <w:rPr>
          <w:sz w:val="24"/>
        </w:rP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действующие до 1 января 2027 г.; санитарные правила и нормы </w:t>
      </w:r>
      <w:hyperlink w:history="0" r:id="rId25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4"/>
            <w:color w:val="0000ff"/>
          </w:rPr>
          <w:t xml:space="preserve">СанПиН 1.2.3685-21</w:t>
        </w:r>
      </w:hyperlink>
      <w:r>
        <w:rPr>
          <w:sz w:val="24"/>
        </w:rP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4.3. Общесистемные требования к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4.4. Требования к материально-техническому и учебно-методическому обеспечению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допускается замена оборудования его виртуальными аналогами;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ж) в качестве основной литературы образовательная организация использует учебники, учебные пособия, предусмотренные ПОП;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4.5. Требования к кадровым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history="0" w:anchor="P70" w:tooltip="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40 Сквозные виды профессиональной деятельности в промышленности &lt;5&gt;.">
        <w:r>
          <w:rPr>
            <w:sz w:val="24"/>
            <w:color w:val="0000ff"/>
          </w:rPr>
          <w:t xml:space="preserve">пункте 1.13</w:t>
        </w:r>
      </w:hyperlink>
      <w:r>
        <w:rPr>
          <w:sz w:val="24"/>
        </w:rPr>
        <w:t xml:space="preserve"> ФГОС СПО (имеющих стаж работы в данной профессиональной области не менее трех лет);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history="0" w:anchor="P70" w:tooltip="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40 Сквозные виды профессиональной деятельности в промышленности &lt;5&gt;.">
        <w:r>
          <w:rPr>
            <w:sz w:val="24"/>
            <w:color w:val="0000ff"/>
          </w:rPr>
          <w:t xml:space="preserve">пункте 1.13</w:t>
        </w:r>
      </w:hyperlink>
      <w:r>
        <w:rPr>
          <w:sz w:val="24"/>
        </w:rP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указанной в </w:t>
      </w:r>
      <w:hyperlink w:history="0" w:anchor="P70" w:tooltip="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40 Сквозные виды профессиональной деятельности в промышленности &lt;5&gt;.">
        <w:r>
          <w:rPr>
            <w:sz w:val="24"/>
            <w:color w:val="0000ff"/>
          </w:rPr>
          <w:t xml:space="preserve">пункте 1.13</w:t>
        </w:r>
      </w:hyperlink>
      <w:r>
        <w:rPr>
          <w:sz w:val="24"/>
        </w:rP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4.6. Требование к финансовым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&lt;8&gt; и Федеральным </w:t>
      </w:r>
      <w:hyperlink w:history="0" r:id="rId26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29 декабря 2012 г. N 273-ФЗ "Об образовании в Российской Федерации".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&lt;8&gt; Бюджетный </w:t>
      </w:r>
      <w:hyperlink w:history="0" r:id="rId27" w:tooltip="&quot;Бюджетный кодекс Российской Федерации&quot; от 31.07.1998 N 145-ФЗ (ред. от 26.12.2024) (с изм. и доп., вступ. в силу с 01.01.2025) {КонсультантПлюс}">
        <w:r>
          <w:rPr>
            <w:sz w:val="24"/>
            <w:color w:val="0000ff"/>
          </w:rPr>
          <w:t xml:space="preserve">кодекс</w:t>
        </w:r>
      </w:hyperlink>
      <w:r>
        <w:rPr>
          <w:sz w:val="24"/>
        </w:rPr>
        <w:t xml:space="preserve"> Российской Федерации.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4.7. Требования к применяемым механизмам оценки качества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15.11.2023 N 863</w:t>
            <w:br/>
            <w:t>"Об утверждении федерального государственного образовательного стандарт...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04.02.2025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LAW&amp;n=488439&amp;date=04.02.2025&amp;dst=100051&amp;field=134&amp;demo=2" TargetMode = "External"/>
	<Relationship Id="rId8" Type="http://schemas.openxmlformats.org/officeDocument/2006/relationships/hyperlink" Target="https://login.consultant.ru/link/?req=doc&amp;base=LAW&amp;n=481262&amp;date=04.02.2025&amp;dst=100072&amp;field=134&amp;demo=2" TargetMode = "External"/>
	<Relationship Id="rId9" Type="http://schemas.openxmlformats.org/officeDocument/2006/relationships/hyperlink" Target="https://login.consultant.ru/link/?req=doc&amp;base=LAW&amp;n=493177&amp;date=04.02.2025&amp;dst=101529&amp;field=134&amp;demo=2" TargetMode = "External"/>
	<Relationship Id="rId10" Type="http://schemas.openxmlformats.org/officeDocument/2006/relationships/hyperlink" Target="https://login.consultant.ru/link/?req=doc&amp;base=LAW&amp;n=429109&amp;date=04.02.2025&amp;dst=100014&amp;field=134&amp;demo=2" TargetMode = "External"/>
	<Relationship Id="rId11" Type="http://schemas.openxmlformats.org/officeDocument/2006/relationships/hyperlink" Target="https://login.consultant.ru/link/?req=doc&amp;base=LAW&amp;n=493177&amp;date=04.02.2025&amp;dst=354&amp;field=134&amp;demo=2" TargetMode = "External"/>
	<Relationship Id="rId12" Type="http://schemas.openxmlformats.org/officeDocument/2006/relationships/hyperlink" Target="https://login.consultant.ru/link/?req=doc&amp;base=LAW&amp;n=493177&amp;date=04.02.2025&amp;dst=101529&amp;field=134&amp;demo=2" TargetMode = "External"/>
	<Relationship Id="rId13" Type="http://schemas.openxmlformats.org/officeDocument/2006/relationships/hyperlink" Target="https://login.consultant.ru/link/?req=doc&amp;base=LAW&amp;n=493177&amp;date=04.02.2025&amp;dst=100562&amp;field=134&amp;demo=2" TargetMode = "External"/>
	<Relationship Id="rId14" Type="http://schemas.openxmlformats.org/officeDocument/2006/relationships/hyperlink" Target="https://login.consultant.ru/link/?req=doc&amp;base=LAW&amp;n=470946&amp;date=04.02.2025&amp;dst=4&amp;field=134&amp;demo=2" TargetMode = "External"/>
	<Relationship Id="rId15" Type="http://schemas.openxmlformats.org/officeDocument/2006/relationships/hyperlink" Target="https://login.consultant.ru/link/?req=doc&amp;base=LAW&amp;n=470946&amp;date=04.02.2025&amp;dst=4&amp;field=134&amp;demo=2" TargetMode = "External"/>
	<Relationship Id="rId16" Type="http://schemas.openxmlformats.org/officeDocument/2006/relationships/hyperlink" Target="https://login.consultant.ru/link/?req=doc&amp;base=LAW&amp;n=494980&amp;date=04.02.2025&amp;dst=774&amp;field=134&amp;demo=2" TargetMode = "External"/>
	<Relationship Id="rId17" Type="http://schemas.openxmlformats.org/officeDocument/2006/relationships/hyperlink" Target="https://login.consultant.ru/link/?req=doc&amp;base=LAW&amp;n=494980&amp;date=04.02.2025&amp;dst=100249&amp;field=134&amp;demo=2" TargetMode = "External"/>
	<Relationship Id="rId18" Type="http://schemas.openxmlformats.org/officeDocument/2006/relationships/hyperlink" Target="https://login.consultant.ru/link/?req=doc&amp;base=LAW&amp;n=214720&amp;date=04.02.2025&amp;dst=100116&amp;field=134&amp;demo=2" TargetMode = "External"/>
	<Relationship Id="rId19" Type="http://schemas.openxmlformats.org/officeDocument/2006/relationships/hyperlink" Target="https://login.consultant.ru/link/?req=doc&amp;base=LAW&amp;n=214720&amp;date=04.02.2025&amp;dst=100047&amp;field=134&amp;demo=2" TargetMode = "External"/>
	<Relationship Id="rId20" Type="http://schemas.openxmlformats.org/officeDocument/2006/relationships/hyperlink" Target="https://login.consultant.ru/link/?req=doc&amp;base=LAW&amp;n=470946&amp;date=04.02.2025&amp;dst=4&amp;field=134&amp;demo=2" TargetMode = "External"/>
	<Relationship Id="rId21" Type="http://schemas.openxmlformats.org/officeDocument/2006/relationships/hyperlink" Target="https://login.consultant.ru/link/?req=doc&amp;base=LAW&amp;n=494980&amp;date=04.02.2025&amp;dst=415&amp;field=134&amp;demo=2" TargetMode = "External"/>
	<Relationship Id="rId22" Type="http://schemas.openxmlformats.org/officeDocument/2006/relationships/hyperlink" Target="https://login.consultant.ru/link/?req=doc&amp;base=LAW&amp;n=494620&amp;date=04.02.2025&amp;demo=2" TargetMode = "External"/>
	<Relationship Id="rId23" Type="http://schemas.openxmlformats.org/officeDocument/2006/relationships/hyperlink" Target="https://login.consultant.ru/link/?req=doc&amp;base=LAW&amp;n=371594&amp;date=04.02.2025&amp;dst=100047&amp;field=134&amp;demo=2" TargetMode = "External"/>
	<Relationship Id="rId24" Type="http://schemas.openxmlformats.org/officeDocument/2006/relationships/hyperlink" Target="https://login.consultant.ru/link/?req=doc&amp;base=LAW&amp;n=367564&amp;date=04.02.2025&amp;dst=100037&amp;field=134&amp;demo=2" TargetMode = "External"/>
	<Relationship Id="rId25" Type="http://schemas.openxmlformats.org/officeDocument/2006/relationships/hyperlink" Target="https://login.consultant.ru/link/?req=doc&amp;base=LAW&amp;n=441707&amp;date=04.02.2025&amp;dst=100137&amp;field=134&amp;demo=2" TargetMode = "External"/>
	<Relationship Id="rId26" Type="http://schemas.openxmlformats.org/officeDocument/2006/relationships/hyperlink" Target="https://login.consultant.ru/link/?req=doc&amp;base=LAW&amp;n=494980&amp;date=04.02.2025&amp;demo=2" TargetMode = "External"/>
	<Relationship Id="rId27" Type="http://schemas.openxmlformats.org/officeDocument/2006/relationships/hyperlink" Target="https://login.consultant.ru/link/?req=doc&amp;base=LAW&amp;n=466790&amp;date=04.02.2025&amp;demo=2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4024.00.50</Application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15.11.2023 N 863
"Об утверждении федерального государственного образовательного стандарта среднего профессионального образования по профессии 15.01.05 Сварщик (ручной и частично механизированной сварки (наплавки)"
(Зарегистрировано в Минюсте России 15.12.2023 N 76433)</dc:title>
  <dcterms:created xsi:type="dcterms:W3CDTF">2025-02-04T20:07:55Z</dcterms:created>
</cp:coreProperties>
</file>