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44" w:rsidRDefault="00FF2544" w:rsidP="00FF2544">
      <w:pPr>
        <w:jc w:val="right"/>
        <w:rPr>
          <w:rFonts w:ascii="Impact" w:hAnsi="Impact"/>
          <w:b/>
          <w:color w:val="C00000"/>
          <w:sz w:val="32"/>
          <w:szCs w:val="32"/>
        </w:rPr>
      </w:pPr>
      <w:r>
        <w:rPr>
          <w:rFonts w:ascii="Impact" w:hAnsi="Impact"/>
          <w:b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142875</wp:posOffset>
            </wp:positionV>
            <wp:extent cx="1514475" cy="1457325"/>
            <wp:effectExtent l="19050" t="0" r="9525" b="0"/>
            <wp:wrapNone/>
            <wp:docPr id="3" name="Рисунок 7" descr="70_letie_pob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70_letie_pobed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2544">
        <w:rPr>
          <w:rFonts w:ascii="Impact" w:hAnsi="Impact"/>
          <w:b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-390525</wp:posOffset>
            </wp:positionV>
            <wp:extent cx="7381875" cy="10572750"/>
            <wp:effectExtent l="19050" t="0" r="9525" b="0"/>
            <wp:wrapNone/>
            <wp:docPr id="2" name="Рисунок 2" descr="0001-002-Master-klass-po-izgotovleniju-otkrytki-k-23-fevra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01-002-Master-klass-po-izgotovleniju-otkrytki-k-23-fevralj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57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Impact" w:hAnsi="Impact"/>
          <w:b/>
          <w:color w:val="C00000"/>
          <w:sz w:val="32"/>
          <w:szCs w:val="32"/>
        </w:rPr>
        <w:t xml:space="preserve">     </w:t>
      </w:r>
    </w:p>
    <w:p w:rsidR="004B359E" w:rsidRDefault="00FF2544" w:rsidP="00FF2544">
      <w:pPr>
        <w:jc w:val="right"/>
        <w:rPr>
          <w:rFonts w:cs="DilleniaUPC"/>
          <w:b/>
          <w:color w:val="002060"/>
          <w:sz w:val="40"/>
          <w:szCs w:val="40"/>
        </w:rPr>
      </w:pPr>
      <w:r w:rsidRPr="00FF2544">
        <w:rPr>
          <w:rFonts w:ascii="Impact" w:hAnsi="Impact"/>
          <w:b/>
          <w:color w:val="C00000"/>
          <w:sz w:val="52"/>
          <w:szCs w:val="52"/>
        </w:rPr>
        <w:t>Поклонимся  великим  тем  годам</w:t>
      </w:r>
      <w:r w:rsidRPr="009D0FE3">
        <w:rPr>
          <w:rFonts w:ascii="Impact" w:hAnsi="Impact"/>
          <w:b/>
          <w:color w:val="C00000"/>
          <w:sz w:val="52"/>
          <w:szCs w:val="52"/>
        </w:rPr>
        <w:t xml:space="preserve">                                           </w:t>
      </w:r>
      <w:r w:rsidRPr="009D0FE3">
        <w:rPr>
          <w:rFonts w:ascii="Gabriola" w:hAnsi="Gabriola" w:cs="DilleniaUPC"/>
          <w:b/>
          <w:color w:val="002060"/>
          <w:sz w:val="40"/>
          <w:szCs w:val="40"/>
        </w:rPr>
        <w:t>приложение</w:t>
      </w:r>
      <w:r w:rsidRPr="009D0FE3">
        <w:rPr>
          <w:rFonts w:ascii="DilleniaUPC" w:hAnsi="DilleniaUPC" w:cs="DilleniaUPC"/>
          <w:b/>
          <w:color w:val="002060"/>
          <w:sz w:val="40"/>
          <w:szCs w:val="40"/>
        </w:rPr>
        <w:t xml:space="preserve"> </w:t>
      </w:r>
      <w:r w:rsidRPr="009D0FE3">
        <w:rPr>
          <w:rFonts w:ascii="Gabriola" w:hAnsi="Gabriola" w:cs="DilleniaUPC"/>
          <w:b/>
          <w:color w:val="002060"/>
          <w:sz w:val="40"/>
          <w:szCs w:val="40"/>
        </w:rPr>
        <w:t>к</w:t>
      </w:r>
      <w:r w:rsidRPr="009D0FE3">
        <w:rPr>
          <w:rFonts w:ascii="DilleniaUPC" w:hAnsi="DilleniaUPC" w:cs="DilleniaUPC"/>
          <w:b/>
          <w:color w:val="002060"/>
          <w:sz w:val="40"/>
          <w:szCs w:val="40"/>
        </w:rPr>
        <w:t xml:space="preserve"> </w:t>
      </w:r>
      <w:r w:rsidRPr="009D0FE3">
        <w:rPr>
          <w:rFonts w:ascii="Gabriola" w:hAnsi="Gabriola" w:cs="DilleniaUPC"/>
          <w:b/>
          <w:color w:val="002060"/>
          <w:sz w:val="40"/>
          <w:szCs w:val="40"/>
        </w:rPr>
        <w:t>газете</w:t>
      </w:r>
      <w:r w:rsidRPr="009D0FE3">
        <w:rPr>
          <w:rFonts w:ascii="DilleniaUPC" w:hAnsi="DilleniaUPC" w:cs="DilleniaUPC"/>
          <w:b/>
          <w:color w:val="002060"/>
          <w:sz w:val="40"/>
          <w:szCs w:val="40"/>
        </w:rPr>
        <w:t xml:space="preserve"> «</w:t>
      </w:r>
      <w:r w:rsidRPr="009D0FE3">
        <w:rPr>
          <w:rFonts w:ascii="Gabriola" w:hAnsi="Gabriola" w:cs="DilleniaUPC"/>
          <w:b/>
          <w:color w:val="002060"/>
          <w:sz w:val="40"/>
          <w:szCs w:val="40"/>
        </w:rPr>
        <w:t>Зеркало</w:t>
      </w:r>
      <w:r w:rsidRPr="009D0FE3">
        <w:rPr>
          <w:rFonts w:ascii="DilleniaUPC" w:hAnsi="DilleniaUPC" w:cs="DilleniaUPC"/>
          <w:b/>
          <w:color w:val="002060"/>
          <w:sz w:val="40"/>
          <w:szCs w:val="40"/>
        </w:rPr>
        <w:t>»</w:t>
      </w:r>
      <w:r w:rsidRPr="009D0FE3">
        <w:rPr>
          <w:rFonts w:cs="DilleniaUPC"/>
          <w:b/>
          <w:color w:val="002060"/>
          <w:sz w:val="40"/>
          <w:szCs w:val="40"/>
        </w:rPr>
        <w:t xml:space="preserve"> </w:t>
      </w:r>
      <w:r w:rsidRPr="009D0FE3">
        <w:rPr>
          <w:rFonts w:ascii="Gabriola" w:hAnsi="Gabriola" w:cs="DilleniaUPC"/>
          <w:b/>
          <w:color w:val="002060"/>
          <w:sz w:val="40"/>
          <w:szCs w:val="40"/>
        </w:rPr>
        <w:t>МБОУ</w:t>
      </w:r>
      <w:r w:rsidRPr="009D0FE3">
        <w:rPr>
          <w:rFonts w:ascii="DilleniaUPC" w:hAnsi="DilleniaUPC" w:cs="DilleniaUPC"/>
          <w:b/>
          <w:color w:val="002060"/>
          <w:sz w:val="40"/>
          <w:szCs w:val="40"/>
        </w:rPr>
        <w:t xml:space="preserve"> «</w:t>
      </w:r>
      <w:r w:rsidRPr="009D0FE3">
        <w:rPr>
          <w:rFonts w:ascii="Gabriola" w:hAnsi="Gabriola" w:cs="DilleniaUPC"/>
          <w:b/>
          <w:color w:val="002060"/>
          <w:sz w:val="40"/>
          <w:szCs w:val="40"/>
        </w:rPr>
        <w:t>Гимназия</w:t>
      </w:r>
      <w:r w:rsidRPr="009D0FE3">
        <w:rPr>
          <w:rFonts w:ascii="DilleniaUPC" w:hAnsi="DilleniaUPC" w:cs="DilleniaUPC"/>
          <w:b/>
          <w:color w:val="002060"/>
          <w:sz w:val="40"/>
          <w:szCs w:val="40"/>
        </w:rPr>
        <w:t xml:space="preserve"> </w:t>
      </w:r>
      <w:r w:rsidRPr="009D0FE3">
        <w:rPr>
          <w:rFonts w:ascii="Gabriola" w:hAnsi="Gabriola" w:cs="DilleniaUPC"/>
          <w:b/>
          <w:color w:val="002060"/>
          <w:sz w:val="40"/>
          <w:szCs w:val="40"/>
        </w:rPr>
        <w:t>№</w:t>
      </w:r>
      <w:r w:rsidRPr="009D0FE3">
        <w:rPr>
          <w:rFonts w:ascii="DilleniaUPC" w:hAnsi="DilleniaUPC" w:cs="DilleniaUPC"/>
          <w:b/>
          <w:color w:val="002060"/>
          <w:sz w:val="40"/>
          <w:szCs w:val="40"/>
        </w:rPr>
        <w:t>9»</w:t>
      </w:r>
      <w:r w:rsidRPr="009D0FE3">
        <w:rPr>
          <w:rFonts w:cs="DilleniaUPC"/>
          <w:b/>
          <w:color w:val="002060"/>
          <w:sz w:val="40"/>
          <w:szCs w:val="40"/>
        </w:rPr>
        <w:t xml:space="preserve">   №</w:t>
      </w:r>
      <w:r>
        <w:rPr>
          <w:rFonts w:cs="DilleniaUPC"/>
          <w:b/>
          <w:color w:val="002060"/>
          <w:sz w:val="40"/>
          <w:szCs w:val="40"/>
        </w:rPr>
        <w:t>5</w:t>
      </w:r>
    </w:p>
    <w:p w:rsidR="00FF2544" w:rsidRDefault="004B359E" w:rsidP="004B359E">
      <w:pPr>
        <w:jc w:val="center"/>
        <w:rPr>
          <w:rFonts w:asciiTheme="majorHAnsi" w:hAnsiTheme="majorHAnsi" w:cs="Andalus"/>
          <w:b/>
          <w:color w:val="7030A0"/>
          <w:sz w:val="40"/>
          <w:szCs w:val="40"/>
        </w:rPr>
      </w:pPr>
      <w:r w:rsidRPr="004B359E">
        <w:rPr>
          <w:rFonts w:asciiTheme="majorHAnsi" w:hAnsiTheme="majorHAnsi" w:cs="Andalus"/>
          <w:b/>
          <w:color w:val="7030A0"/>
          <w:sz w:val="40"/>
          <w:szCs w:val="40"/>
        </w:rPr>
        <w:t>Связь поколений</w:t>
      </w:r>
    </w:p>
    <w:p w:rsidR="0010093B" w:rsidRDefault="0010093B" w:rsidP="0010093B">
      <w:pPr>
        <w:rPr>
          <w:rFonts w:ascii="Times New Roman" w:hAnsi="Times New Roman" w:cs="Times New Roman"/>
          <w:sz w:val="28"/>
          <w:szCs w:val="28"/>
        </w:rPr>
        <w:sectPr w:rsidR="0010093B" w:rsidSect="00FF254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846E9" w:rsidRDefault="0010093B" w:rsidP="00C839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93B">
        <w:rPr>
          <w:rFonts w:ascii="Times New Roman" w:hAnsi="Times New Roman" w:cs="Times New Roman"/>
          <w:sz w:val="28"/>
          <w:szCs w:val="28"/>
        </w:rPr>
        <w:lastRenderedPageBreak/>
        <w:t xml:space="preserve">11 февраля </w:t>
      </w:r>
      <w:r>
        <w:rPr>
          <w:rFonts w:ascii="Times New Roman" w:hAnsi="Times New Roman" w:cs="Times New Roman"/>
          <w:sz w:val="28"/>
          <w:szCs w:val="28"/>
        </w:rPr>
        <w:t>2015 года гимназия принимала гостей – представителей республиканской общественной организации ветеранов (инвалидов) «Союз ветеранов Республики Татарстан». Данный визит не был случайным, поскольку он явился своеобразным итогом участия наших гимназистов в республиканской акции</w:t>
      </w:r>
      <w:r w:rsidR="00C839DE">
        <w:rPr>
          <w:rFonts w:ascii="Times New Roman" w:hAnsi="Times New Roman" w:cs="Times New Roman"/>
          <w:sz w:val="28"/>
          <w:szCs w:val="28"/>
        </w:rPr>
        <w:t>, в ходе которой был собран материал для документал</w:t>
      </w:r>
      <w:r w:rsidR="00347258">
        <w:rPr>
          <w:rFonts w:ascii="Times New Roman" w:hAnsi="Times New Roman" w:cs="Times New Roman"/>
          <w:sz w:val="28"/>
          <w:szCs w:val="28"/>
        </w:rPr>
        <w:t>ьного фильма, посвящённого 70-</w:t>
      </w:r>
      <w:r w:rsidR="00C839DE">
        <w:rPr>
          <w:rFonts w:ascii="Times New Roman" w:hAnsi="Times New Roman" w:cs="Times New Roman"/>
          <w:sz w:val="28"/>
          <w:szCs w:val="28"/>
        </w:rPr>
        <w:t>летию Победы в Великой Отечественной войне.</w:t>
      </w:r>
    </w:p>
    <w:p w:rsidR="00B06D97" w:rsidRDefault="00B06D97" w:rsidP="00C839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1983105</wp:posOffset>
            </wp:positionV>
            <wp:extent cx="2990850" cy="2237740"/>
            <wp:effectExtent l="19050" t="0" r="0" b="0"/>
            <wp:wrapNone/>
            <wp:docPr id="5" name="Рисунок 2" descr="C:\Users\Scool\Desktop\P1010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ool\Desktop\P10107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3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Гимназисты с нескрываемым интересом воспринимали кадры фильма, участниками которого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оставшиеся в живых ветераны – наши земляки.  Присутствующих потрясли ужасающие рассказы очевидцев, прошедших тяжёлое испытание войной.</w:t>
      </w:r>
    </w:p>
    <w:p w:rsidR="00B06D97" w:rsidRDefault="00B06D97" w:rsidP="00C839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D97" w:rsidRDefault="00B06D97" w:rsidP="00C839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D97" w:rsidRDefault="00B06D97" w:rsidP="00C839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D97" w:rsidRDefault="00B06D97" w:rsidP="00C839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D97" w:rsidRDefault="00B06D97" w:rsidP="00C839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D97" w:rsidRDefault="00B06D97" w:rsidP="00C839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D97" w:rsidRDefault="00B06D97" w:rsidP="00C839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D97" w:rsidRDefault="00B06D97" w:rsidP="00C839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71120</wp:posOffset>
            </wp:positionV>
            <wp:extent cx="2997200" cy="2247900"/>
            <wp:effectExtent l="19050" t="0" r="0" b="0"/>
            <wp:wrapNone/>
            <wp:docPr id="4" name="Рисунок 1" descr="C:\Users\Scool\Desktop\P1010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ol\Desktop\P10107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6D97" w:rsidRDefault="00B06D97" w:rsidP="00C839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D97" w:rsidRDefault="00B06D97" w:rsidP="00C839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D97" w:rsidRDefault="00B06D97" w:rsidP="00C839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D97" w:rsidRDefault="00B06D97" w:rsidP="00C839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D97" w:rsidRDefault="00B06D97" w:rsidP="00C839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D97" w:rsidRDefault="00B06D97" w:rsidP="00C839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D97" w:rsidRDefault="00B06D97" w:rsidP="00C839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Несомненным достоинством фильма, по словам зрителей, явились кадры военной Казани, которые позволили прикоснуться к страшным страницам истории нашей малой Родины.</w:t>
      </w:r>
      <w:r w:rsidR="003A20FE">
        <w:rPr>
          <w:rFonts w:ascii="Times New Roman" w:hAnsi="Times New Roman" w:cs="Times New Roman"/>
          <w:sz w:val="28"/>
          <w:szCs w:val="28"/>
        </w:rPr>
        <w:t xml:space="preserve"> Со всех сторон аудитории сверкали детские глаза, переполненные гордостью за своих земляков, за родную Казань, за всю необъятную Россию.</w:t>
      </w:r>
    </w:p>
    <w:p w:rsidR="003A20FE" w:rsidRDefault="003A20FE" w:rsidP="00C839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и, конечно, никто не остался равнодушным к эпизодам современности, тем более что там мелькали знакомые лица учащихся гимназии №9. Каждому из присутствующих было, несомненно, приятно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 образом дань уважения тем, благодаря кому мы </w:t>
      </w:r>
      <w:r w:rsidR="00592D5F">
        <w:rPr>
          <w:rFonts w:ascii="Times New Roman" w:hAnsi="Times New Roman" w:cs="Times New Roman"/>
          <w:sz w:val="28"/>
          <w:szCs w:val="28"/>
        </w:rPr>
        <w:t>живём под мирным небом на Земле.</w:t>
      </w:r>
    </w:p>
    <w:p w:rsidR="00592D5F" w:rsidRPr="00592D5F" w:rsidRDefault="00592D5F" w:rsidP="00592D5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92D5F">
        <w:rPr>
          <w:rFonts w:ascii="Times New Roman" w:hAnsi="Times New Roman" w:cs="Times New Roman"/>
          <w:i/>
          <w:sz w:val="24"/>
          <w:szCs w:val="24"/>
        </w:rPr>
        <w:t xml:space="preserve">Корреспондент: </w:t>
      </w:r>
      <w:proofErr w:type="spellStart"/>
      <w:r w:rsidRPr="00592D5F">
        <w:rPr>
          <w:rFonts w:ascii="Times New Roman" w:hAnsi="Times New Roman" w:cs="Times New Roman"/>
          <w:i/>
          <w:sz w:val="24"/>
          <w:szCs w:val="24"/>
        </w:rPr>
        <w:t>Ахтямова</w:t>
      </w:r>
      <w:proofErr w:type="spellEnd"/>
      <w:r w:rsidRPr="00592D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2D5F">
        <w:rPr>
          <w:rFonts w:ascii="Times New Roman" w:hAnsi="Times New Roman" w:cs="Times New Roman"/>
          <w:i/>
          <w:sz w:val="24"/>
          <w:szCs w:val="24"/>
        </w:rPr>
        <w:t>Сурия</w:t>
      </w:r>
      <w:proofErr w:type="spellEnd"/>
      <w:r w:rsidRPr="00592D5F">
        <w:rPr>
          <w:rFonts w:ascii="Times New Roman" w:hAnsi="Times New Roman" w:cs="Times New Roman"/>
          <w:i/>
          <w:sz w:val="24"/>
          <w:szCs w:val="24"/>
        </w:rPr>
        <w:t>, 9Б</w:t>
      </w:r>
    </w:p>
    <w:sectPr w:rsidR="00592D5F" w:rsidRPr="00592D5F" w:rsidSect="0010093B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2544"/>
    <w:rsid w:val="0010093B"/>
    <w:rsid w:val="00112361"/>
    <w:rsid w:val="00205F72"/>
    <w:rsid w:val="00347258"/>
    <w:rsid w:val="003A20FE"/>
    <w:rsid w:val="004B359E"/>
    <w:rsid w:val="00592D5F"/>
    <w:rsid w:val="005D7C1E"/>
    <w:rsid w:val="0072656A"/>
    <w:rsid w:val="008846E9"/>
    <w:rsid w:val="00B06D97"/>
    <w:rsid w:val="00B9710D"/>
    <w:rsid w:val="00C839DE"/>
    <w:rsid w:val="00FF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4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5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Scool</dc:creator>
  <cp:lastModifiedBy>Scool</cp:lastModifiedBy>
  <cp:revision>8</cp:revision>
  <dcterms:created xsi:type="dcterms:W3CDTF">2015-02-11T07:48:00Z</dcterms:created>
  <dcterms:modified xsi:type="dcterms:W3CDTF">2015-02-12T15:47:00Z</dcterms:modified>
</cp:coreProperties>
</file>